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FF674" w14:textId="789AE388" w:rsidR="00E41FCA" w:rsidRDefault="0070726B" w:rsidP="007B1869">
      <w:pPr>
        <w:spacing w:after="0" w:line="240" w:lineRule="auto"/>
        <w:jc w:val="center"/>
        <w:rPr>
          <w:b/>
          <w:sz w:val="28"/>
          <w:szCs w:val="28"/>
        </w:rPr>
      </w:pPr>
      <w:r w:rsidRPr="00EB44D9">
        <w:rPr>
          <w:b/>
          <w:sz w:val="28"/>
          <w:szCs w:val="28"/>
        </w:rPr>
        <w:t>ICD</w:t>
      </w:r>
      <w:r w:rsidR="003D094C" w:rsidRPr="00EB44D9">
        <w:rPr>
          <w:b/>
          <w:sz w:val="28"/>
          <w:szCs w:val="28"/>
        </w:rPr>
        <w:t>-</w:t>
      </w:r>
      <w:r w:rsidRPr="00EB44D9">
        <w:rPr>
          <w:b/>
          <w:sz w:val="28"/>
          <w:szCs w:val="28"/>
        </w:rPr>
        <w:t>9 to ICD</w:t>
      </w:r>
      <w:r w:rsidR="003D094C" w:rsidRPr="00EB44D9">
        <w:rPr>
          <w:b/>
          <w:sz w:val="28"/>
          <w:szCs w:val="28"/>
        </w:rPr>
        <w:t>-</w:t>
      </w:r>
      <w:r w:rsidRPr="00EB44D9">
        <w:rPr>
          <w:b/>
          <w:sz w:val="28"/>
          <w:szCs w:val="28"/>
        </w:rPr>
        <w:t>10 Transition Guidance</w:t>
      </w:r>
    </w:p>
    <w:p w14:paraId="6D0DCE72" w14:textId="41008CC7" w:rsidR="00EB44D9" w:rsidRDefault="00EB44D9" w:rsidP="007B1869">
      <w:pPr>
        <w:spacing w:after="0" w:line="240" w:lineRule="auto"/>
        <w:rPr>
          <w:b/>
          <w:sz w:val="28"/>
          <w:szCs w:val="28"/>
        </w:rPr>
      </w:pPr>
      <w:bookmarkStart w:id="0" w:name="_GoBack"/>
      <w:bookmarkEnd w:id="0"/>
    </w:p>
    <w:p w14:paraId="4D259133" w14:textId="35402260" w:rsidR="007B1869" w:rsidRDefault="007B1869" w:rsidP="007B1869">
      <w:pPr>
        <w:spacing w:after="0" w:line="240" w:lineRule="auto"/>
        <w:rPr>
          <w:b/>
          <w:sz w:val="28"/>
          <w:szCs w:val="28"/>
        </w:rPr>
      </w:pPr>
    </w:p>
    <w:p w14:paraId="78739656" w14:textId="77777777" w:rsidR="007B1869" w:rsidRPr="00EB44D9" w:rsidRDefault="007B1869" w:rsidP="007B1869">
      <w:pPr>
        <w:spacing w:after="0" w:line="240" w:lineRule="auto"/>
        <w:rPr>
          <w:b/>
          <w:sz w:val="28"/>
          <w:szCs w:val="28"/>
        </w:rPr>
      </w:pPr>
    </w:p>
    <w:p w14:paraId="648EA3CB" w14:textId="33C65DF2" w:rsidR="0070726B" w:rsidRPr="00094D20" w:rsidRDefault="00E94544" w:rsidP="007B1869">
      <w:pPr>
        <w:keepNext/>
        <w:keepLines/>
        <w:spacing w:after="0" w:line="240" w:lineRule="auto"/>
        <w:outlineLvl w:val="1"/>
        <w:rPr>
          <w:rFonts w:ascii="Calibri Light" w:eastAsia="Times New Roman" w:hAnsi="Calibri Light" w:cs="Times New Roman"/>
          <w:b/>
          <w:color w:val="2E74B5"/>
          <w:sz w:val="26"/>
          <w:szCs w:val="26"/>
        </w:rPr>
      </w:pPr>
      <w:r w:rsidRPr="00094D20">
        <w:rPr>
          <w:rFonts w:ascii="Calibri Light" w:eastAsia="Times New Roman" w:hAnsi="Calibri Light" w:cs="Times New Roman"/>
          <w:b/>
          <w:color w:val="2E74B5"/>
          <w:sz w:val="26"/>
          <w:szCs w:val="26"/>
        </w:rPr>
        <w:t>I. Introduction</w:t>
      </w:r>
    </w:p>
    <w:p w14:paraId="4F2E92EA" w14:textId="77777777" w:rsidR="00E94544" w:rsidRPr="00EA63C7" w:rsidRDefault="00E94544" w:rsidP="007B1869">
      <w:pPr>
        <w:keepNext/>
        <w:keepLines/>
        <w:spacing w:after="0" w:line="240" w:lineRule="auto"/>
        <w:outlineLvl w:val="1"/>
        <w:rPr>
          <w:rFonts w:ascii="Calibri Light" w:eastAsia="Times New Roman" w:hAnsi="Calibri Light" w:cs="Times New Roman"/>
          <w:color w:val="2E74B5"/>
        </w:rPr>
      </w:pPr>
    </w:p>
    <w:p w14:paraId="58ECC237" w14:textId="1662B64B" w:rsidR="00EA780F" w:rsidRDefault="00EA780F" w:rsidP="007B1869">
      <w:pPr>
        <w:spacing w:after="0" w:line="240" w:lineRule="auto"/>
      </w:pPr>
      <w:r>
        <w:t xml:space="preserve">Transition of the </w:t>
      </w:r>
      <w:r w:rsidR="00E36783">
        <w:t>United States (</w:t>
      </w:r>
      <w:r>
        <w:t>US</w:t>
      </w:r>
      <w:r w:rsidR="00E36783">
        <w:t>)</w:t>
      </w:r>
      <w:r>
        <w:t xml:space="preserve"> healthcare system to use of the </w:t>
      </w:r>
      <w:r>
        <w:rPr>
          <w:bCs/>
        </w:rPr>
        <w:t xml:space="preserve">International Classification of Diseases, Clinical Modification, version 10 (ICD-10-CM), </w:t>
      </w:r>
      <w:r>
        <w:t>on October 1, 2015, ha</w:t>
      </w:r>
      <w:r w:rsidR="00E36783">
        <w:t>s</w:t>
      </w:r>
      <w:r>
        <w:t xml:space="preserve"> broad implications for use of these data for surveillance, research, and other public health purposes. It is critical that birth defects programs assess and understand the effects of this transition on their surveillance methods, the observed frequency of defects in their area, trends in defect frequency over time, referral of affected children to healthcare services, and other uses. A primary advantage of ICD-10-CM is the increased number and specificity of diagnostic codes, and updated terminology and classification that more accurately reflect current understanding. Disadvantages include the addition of alphanumeric coding, reorganization of some sections of the code, the extent of training needed for staff to gain familiarity and experience with its use</w:t>
      </w:r>
      <w:r w:rsidR="00284B82">
        <w:t>, and the need to develop crosswalks</w:t>
      </w:r>
      <w:r w:rsidR="000A4EC5">
        <w:t xml:space="preserve"> or translations between ICD-9-CM and ICD-10-CM </w:t>
      </w:r>
      <w:r w:rsidR="00284B82">
        <w:t>to assess defect</w:t>
      </w:r>
      <w:r w:rsidR="000A4EC5">
        <w:t xml:space="preserve"> prevalence</w:t>
      </w:r>
      <w:r w:rsidR="00284B82">
        <w:t xml:space="preserve"> across</w:t>
      </w:r>
      <w:r w:rsidR="000A4EC5">
        <w:t xml:space="preserve"> </w:t>
      </w:r>
      <w:r w:rsidR="00284B82">
        <w:t>years</w:t>
      </w:r>
      <w:r>
        <w:t xml:space="preserve">.  For more information about the differences between ICD-9-CM and ICD-10-CM, see the ICD-10-CM and Birth Defects page under Resources on the NBDPN website at </w:t>
      </w:r>
      <w:hyperlink r:id="rId8" w:history="1">
        <w:r w:rsidRPr="006879B9">
          <w:rPr>
            <w:rStyle w:val="Hyperlink"/>
          </w:rPr>
          <w:t>https://www.nbdpn.org/icd10.php</w:t>
        </w:r>
      </w:hyperlink>
      <w:r>
        <w:t>.</w:t>
      </w:r>
    </w:p>
    <w:p w14:paraId="1D03EC2E" w14:textId="77777777" w:rsidR="007B1869" w:rsidRDefault="007B1869" w:rsidP="007B1869">
      <w:pPr>
        <w:spacing w:after="0" w:line="240" w:lineRule="auto"/>
      </w:pPr>
    </w:p>
    <w:p w14:paraId="0DE3AC1F" w14:textId="0927FCC6" w:rsidR="00EA780F" w:rsidRDefault="00EA780F" w:rsidP="007B1869">
      <w:pPr>
        <w:spacing w:after="0" w:line="240" w:lineRule="auto"/>
      </w:pPr>
      <w:r>
        <w:t xml:space="preserve">The transition to ICD-10-CM has implications for all birth defects surveillance programs but the specific impact will vary depending on how programs use ICD coding. Programs that receive reports of birth defects coded in ICD-10-CM may experience a change in the way some defects are defined in the new codes. It may not be possible to define defect categories using ICD-10-CM in the exact way they were defined using ICD-9-CM for monitoring and reporting purposes. Programs that receive reports coded in ICD-10-CM and then verify the diagnoses through medical record review may experience a change in the number of records for which review is required with associated changes in the resources needed to perform these reviews. </w:t>
      </w:r>
      <w:r w:rsidRPr="004B3AB8">
        <w:rPr>
          <w:rFonts w:cstheme="minorHAnsi"/>
        </w:rPr>
        <w:t xml:space="preserve">Programs that use ICD-10-CM codes from administrative data for case-finding followed by medical record review may experience changes in the number and completeness of cases identified from these sources. This may vary depending on the practices and experience of coding staff at each data source. Birth defects programs are encouraged to consider how the use of ICD-10-CM may affect all stages of their surveillance methods. </w:t>
      </w:r>
      <w:r w:rsidR="004B3AB8">
        <w:rPr>
          <w:rFonts w:cstheme="minorHAnsi"/>
        </w:rPr>
        <w:t>For more information about case ascertainment methods, s</w:t>
      </w:r>
      <w:r w:rsidR="00F24F32" w:rsidRPr="004B3AB8">
        <w:rPr>
          <w:rFonts w:cstheme="minorHAnsi"/>
        </w:rPr>
        <w:t>ee Chapter 6</w:t>
      </w:r>
      <w:r w:rsidR="004B3AB8">
        <w:rPr>
          <w:rFonts w:cstheme="minorHAnsi"/>
        </w:rPr>
        <w:t xml:space="preserve"> of the</w:t>
      </w:r>
      <w:r w:rsidR="004B3AB8" w:rsidRPr="004B3AB8">
        <w:rPr>
          <w:rFonts w:cstheme="minorHAnsi"/>
        </w:rPr>
        <w:t xml:space="preserve"> </w:t>
      </w:r>
      <w:bookmarkStart w:id="1" w:name="BDSG"/>
      <w:bookmarkEnd w:id="1"/>
      <w:r w:rsidR="004B3AB8">
        <w:rPr>
          <w:rFonts w:cstheme="minorHAnsi"/>
        </w:rPr>
        <w:t xml:space="preserve">NBDPN </w:t>
      </w:r>
      <w:r w:rsidR="004B3AB8" w:rsidRPr="004B3AB8">
        <w:rPr>
          <w:rStyle w:val="Strong"/>
          <w:rFonts w:cstheme="minorHAnsi"/>
          <w:b w:val="0"/>
          <w:color w:val="333333"/>
          <w:lang w:val="en"/>
        </w:rPr>
        <w:t>Guidelines for Conducting Birth Defects</w:t>
      </w:r>
      <w:r w:rsidR="004B3AB8" w:rsidRPr="004B3AB8">
        <w:rPr>
          <w:rStyle w:val="Strong"/>
          <w:rFonts w:cstheme="minorHAnsi"/>
          <w:color w:val="333333"/>
          <w:lang w:val="en"/>
        </w:rPr>
        <w:t xml:space="preserve"> </w:t>
      </w:r>
      <w:r w:rsidR="004B3AB8" w:rsidRPr="004B3AB8">
        <w:rPr>
          <w:rStyle w:val="Strong"/>
          <w:rFonts w:cstheme="minorHAnsi"/>
          <w:b w:val="0"/>
          <w:color w:val="333333"/>
          <w:lang w:val="en"/>
        </w:rPr>
        <w:t xml:space="preserve">Surveillance </w:t>
      </w:r>
      <w:r w:rsidR="004B3AB8">
        <w:rPr>
          <w:rStyle w:val="Strong"/>
          <w:rFonts w:cstheme="minorHAnsi"/>
          <w:b w:val="0"/>
          <w:color w:val="333333"/>
          <w:lang w:val="en"/>
        </w:rPr>
        <w:t xml:space="preserve">at </w:t>
      </w:r>
      <w:hyperlink r:id="rId9" w:history="1">
        <w:r w:rsidR="00C72459" w:rsidRPr="00C72459">
          <w:rPr>
            <w:rStyle w:val="Hyperlink"/>
          </w:rPr>
          <w:t>https://www.nbdpn.org/guidelines.php</w:t>
        </w:r>
      </w:hyperlink>
      <w:r w:rsidR="004B3AB8">
        <w:t>.</w:t>
      </w:r>
    </w:p>
    <w:p w14:paraId="1FD83026" w14:textId="77777777" w:rsidR="007B1869" w:rsidRDefault="007B1869" w:rsidP="007B1869">
      <w:pPr>
        <w:spacing w:after="0" w:line="240" w:lineRule="auto"/>
      </w:pPr>
    </w:p>
    <w:p w14:paraId="724EE991" w14:textId="3A887408" w:rsidR="00EA780F" w:rsidRDefault="00EA780F" w:rsidP="007B1869">
      <w:pPr>
        <w:spacing w:after="0" w:line="240" w:lineRule="auto"/>
      </w:pPr>
      <w:r>
        <w:t>This document is intended to provide initial guidance on assessing the effect of the transition to ICD-10-CM on birth defects surveillance data and to share common practices and experience. Use of the guidance by individual programs will depend on program needs and the surveillance methods used.</w:t>
      </w:r>
    </w:p>
    <w:p w14:paraId="1E63131F" w14:textId="43BBE218" w:rsidR="00F42D89" w:rsidRDefault="00F42D89" w:rsidP="007B1869">
      <w:pPr>
        <w:spacing w:after="0" w:line="240" w:lineRule="auto"/>
      </w:pPr>
    </w:p>
    <w:p w14:paraId="19DD86B7" w14:textId="77777777" w:rsidR="007B1869" w:rsidRDefault="007B1869" w:rsidP="007B1869">
      <w:pPr>
        <w:spacing w:after="0" w:line="240" w:lineRule="auto"/>
      </w:pPr>
    </w:p>
    <w:p w14:paraId="59E155FD" w14:textId="6687CE90" w:rsidR="00E94544" w:rsidRPr="00094D20" w:rsidRDefault="00D106D7" w:rsidP="007B1869">
      <w:pPr>
        <w:keepNext/>
        <w:keepLines/>
        <w:spacing w:after="0" w:line="240" w:lineRule="auto"/>
        <w:outlineLvl w:val="1"/>
        <w:rPr>
          <w:rFonts w:ascii="Calibri Light" w:eastAsia="Times New Roman" w:hAnsi="Calibri Light" w:cs="Times New Roman"/>
          <w:b/>
          <w:color w:val="2E74B5"/>
          <w:sz w:val="26"/>
          <w:szCs w:val="26"/>
        </w:rPr>
      </w:pPr>
      <w:r w:rsidRPr="00094D20">
        <w:rPr>
          <w:rFonts w:ascii="Calibri Light" w:eastAsia="Times New Roman" w:hAnsi="Calibri Light" w:cs="Times New Roman"/>
          <w:b/>
          <w:color w:val="2E74B5"/>
          <w:sz w:val="26"/>
          <w:szCs w:val="26"/>
        </w:rPr>
        <w:t xml:space="preserve">II. </w:t>
      </w:r>
      <w:r w:rsidR="00EB44D9">
        <w:rPr>
          <w:rFonts w:ascii="Calibri Light" w:eastAsia="Times New Roman" w:hAnsi="Calibri Light" w:cs="Times New Roman"/>
          <w:b/>
          <w:color w:val="2E74B5"/>
          <w:sz w:val="26"/>
          <w:szCs w:val="26"/>
        </w:rPr>
        <w:t>A</w:t>
      </w:r>
      <w:r w:rsidRPr="00094D20">
        <w:rPr>
          <w:rFonts w:ascii="Calibri Light" w:eastAsia="Times New Roman" w:hAnsi="Calibri Light" w:cs="Times New Roman"/>
          <w:b/>
          <w:color w:val="2E74B5"/>
          <w:sz w:val="26"/>
          <w:szCs w:val="26"/>
        </w:rPr>
        <w:t>ssess</w:t>
      </w:r>
      <w:r w:rsidR="00EB44D9">
        <w:rPr>
          <w:rFonts w:ascii="Calibri Light" w:eastAsia="Times New Roman" w:hAnsi="Calibri Light" w:cs="Times New Roman"/>
          <w:b/>
          <w:color w:val="2E74B5"/>
          <w:sz w:val="26"/>
          <w:szCs w:val="26"/>
        </w:rPr>
        <w:t>ing</w:t>
      </w:r>
      <w:r w:rsidRPr="00094D20">
        <w:rPr>
          <w:rFonts w:ascii="Calibri Light" w:eastAsia="Times New Roman" w:hAnsi="Calibri Light" w:cs="Times New Roman"/>
          <w:b/>
          <w:color w:val="2E74B5"/>
          <w:sz w:val="26"/>
          <w:szCs w:val="26"/>
        </w:rPr>
        <w:t xml:space="preserve"> and </w:t>
      </w:r>
      <w:r w:rsidR="0005554E">
        <w:rPr>
          <w:rFonts w:ascii="Calibri Light" w:eastAsia="Times New Roman" w:hAnsi="Calibri Light" w:cs="Times New Roman"/>
          <w:b/>
          <w:color w:val="2E74B5"/>
          <w:sz w:val="26"/>
          <w:szCs w:val="26"/>
        </w:rPr>
        <w:t>A</w:t>
      </w:r>
      <w:r w:rsidRPr="00094D20">
        <w:rPr>
          <w:rFonts w:ascii="Calibri Light" w:eastAsia="Times New Roman" w:hAnsi="Calibri Light" w:cs="Times New Roman"/>
          <w:b/>
          <w:color w:val="2E74B5"/>
          <w:sz w:val="26"/>
          <w:szCs w:val="26"/>
        </w:rPr>
        <w:t>nalyz</w:t>
      </w:r>
      <w:r w:rsidR="00EB44D9">
        <w:rPr>
          <w:rFonts w:ascii="Calibri Light" w:eastAsia="Times New Roman" w:hAnsi="Calibri Light" w:cs="Times New Roman"/>
          <w:b/>
          <w:color w:val="2E74B5"/>
          <w:sz w:val="26"/>
          <w:szCs w:val="26"/>
        </w:rPr>
        <w:t>ing</w:t>
      </w:r>
      <w:r w:rsidR="00E94544" w:rsidRPr="00094D20">
        <w:rPr>
          <w:rFonts w:ascii="Calibri Light" w:eastAsia="Times New Roman" w:hAnsi="Calibri Light" w:cs="Times New Roman"/>
          <w:b/>
          <w:color w:val="2E74B5"/>
          <w:sz w:val="26"/>
          <w:szCs w:val="26"/>
        </w:rPr>
        <w:t xml:space="preserve"> </w:t>
      </w:r>
      <w:r w:rsidR="0005554E">
        <w:rPr>
          <w:rFonts w:ascii="Calibri Light" w:eastAsia="Times New Roman" w:hAnsi="Calibri Light" w:cs="Times New Roman"/>
          <w:b/>
          <w:color w:val="2E74B5"/>
          <w:sz w:val="26"/>
          <w:szCs w:val="26"/>
        </w:rPr>
        <w:t>D</w:t>
      </w:r>
      <w:r w:rsidR="00E94544" w:rsidRPr="00094D20">
        <w:rPr>
          <w:rFonts w:ascii="Calibri Light" w:eastAsia="Times New Roman" w:hAnsi="Calibri Light" w:cs="Times New Roman"/>
          <w:b/>
          <w:color w:val="2E74B5"/>
          <w:sz w:val="26"/>
          <w:szCs w:val="26"/>
        </w:rPr>
        <w:t xml:space="preserve">ata for </w:t>
      </w:r>
      <w:r w:rsidR="0005554E">
        <w:rPr>
          <w:rFonts w:ascii="Calibri Light" w:eastAsia="Times New Roman" w:hAnsi="Calibri Light" w:cs="Times New Roman"/>
          <w:b/>
          <w:color w:val="2E74B5"/>
          <w:sz w:val="26"/>
          <w:szCs w:val="26"/>
        </w:rPr>
        <w:t>P</w:t>
      </w:r>
      <w:r w:rsidR="00E94544" w:rsidRPr="00094D20">
        <w:rPr>
          <w:rFonts w:ascii="Calibri Light" w:eastAsia="Times New Roman" w:hAnsi="Calibri Light" w:cs="Times New Roman"/>
          <w:b/>
          <w:color w:val="2E74B5"/>
          <w:sz w:val="26"/>
          <w:szCs w:val="26"/>
        </w:rPr>
        <w:t xml:space="preserve">otential </w:t>
      </w:r>
      <w:r w:rsidR="0005554E">
        <w:rPr>
          <w:rFonts w:ascii="Calibri Light" w:eastAsia="Times New Roman" w:hAnsi="Calibri Light" w:cs="Times New Roman"/>
          <w:b/>
          <w:color w:val="2E74B5"/>
          <w:sz w:val="26"/>
          <w:szCs w:val="26"/>
        </w:rPr>
        <w:t>I</w:t>
      </w:r>
      <w:r w:rsidR="00E94544" w:rsidRPr="00094D20">
        <w:rPr>
          <w:rFonts w:ascii="Calibri Light" w:eastAsia="Times New Roman" w:hAnsi="Calibri Light" w:cs="Times New Roman"/>
          <w:b/>
          <w:color w:val="2E74B5"/>
          <w:sz w:val="26"/>
          <w:szCs w:val="26"/>
        </w:rPr>
        <w:t>ssues</w:t>
      </w:r>
      <w:r w:rsidR="00ED6F08">
        <w:rPr>
          <w:rFonts w:ascii="Calibri Light" w:eastAsia="Times New Roman" w:hAnsi="Calibri Light" w:cs="Times New Roman"/>
          <w:b/>
          <w:color w:val="2E74B5"/>
          <w:sz w:val="26"/>
          <w:szCs w:val="26"/>
        </w:rPr>
        <w:t xml:space="preserve"> </w:t>
      </w:r>
      <w:r w:rsidR="0005554E">
        <w:rPr>
          <w:rFonts w:ascii="Calibri Light" w:eastAsia="Times New Roman" w:hAnsi="Calibri Light" w:cs="Times New Roman"/>
          <w:b/>
          <w:color w:val="2E74B5"/>
          <w:sz w:val="26"/>
          <w:szCs w:val="26"/>
        </w:rPr>
        <w:t>R</w:t>
      </w:r>
      <w:r w:rsidR="00ED6F08">
        <w:rPr>
          <w:rFonts w:ascii="Calibri Light" w:eastAsia="Times New Roman" w:hAnsi="Calibri Light" w:cs="Times New Roman"/>
          <w:b/>
          <w:color w:val="2E74B5"/>
          <w:sz w:val="26"/>
          <w:szCs w:val="26"/>
        </w:rPr>
        <w:t xml:space="preserve">elated to </w:t>
      </w:r>
      <w:r w:rsidR="0005554E">
        <w:rPr>
          <w:rFonts w:ascii="Calibri Light" w:eastAsia="Times New Roman" w:hAnsi="Calibri Light" w:cs="Times New Roman"/>
          <w:b/>
          <w:color w:val="2E74B5"/>
          <w:sz w:val="26"/>
          <w:szCs w:val="26"/>
        </w:rPr>
        <w:t>I</w:t>
      </w:r>
      <w:r w:rsidR="00ED6F08">
        <w:rPr>
          <w:rFonts w:ascii="Calibri Light" w:eastAsia="Times New Roman" w:hAnsi="Calibri Light" w:cs="Times New Roman"/>
          <w:b/>
          <w:color w:val="2E74B5"/>
          <w:sz w:val="26"/>
          <w:szCs w:val="26"/>
        </w:rPr>
        <w:t>mplementation of ICD-10-CM</w:t>
      </w:r>
    </w:p>
    <w:p w14:paraId="34ACC0EC" w14:textId="77777777" w:rsidR="00E94544" w:rsidRPr="00E94544" w:rsidRDefault="00E94544" w:rsidP="007B1869">
      <w:pPr>
        <w:spacing w:after="0" w:line="240" w:lineRule="auto"/>
        <w:rPr>
          <w:rFonts w:ascii="Calibri" w:eastAsia="Calibri" w:hAnsi="Calibri" w:cs="Times New Roman"/>
        </w:rPr>
      </w:pPr>
    </w:p>
    <w:p w14:paraId="6271FACB" w14:textId="5F134C61" w:rsidR="00E94544" w:rsidRDefault="007251F1" w:rsidP="007B1869">
      <w:pPr>
        <w:spacing w:after="0" w:line="240" w:lineRule="auto"/>
        <w:rPr>
          <w:rFonts w:ascii="Calibri" w:eastAsia="Calibri" w:hAnsi="Calibri" w:cs="Times New Roman"/>
        </w:rPr>
      </w:pPr>
      <w:r>
        <w:rPr>
          <w:rFonts w:ascii="Calibri" w:eastAsia="Calibri" w:hAnsi="Calibri" w:cs="Times New Roman"/>
        </w:rPr>
        <w:t>A</w:t>
      </w:r>
      <w:r w:rsidR="00E94544" w:rsidRPr="00E94544">
        <w:rPr>
          <w:rFonts w:ascii="Calibri" w:eastAsia="Calibri" w:hAnsi="Calibri" w:cs="Times New Roman"/>
        </w:rPr>
        <w:t xml:space="preserve"> vari</w:t>
      </w:r>
      <w:r>
        <w:rPr>
          <w:rFonts w:ascii="Calibri" w:eastAsia="Calibri" w:hAnsi="Calibri" w:cs="Times New Roman"/>
        </w:rPr>
        <w:t xml:space="preserve">ety of </w:t>
      </w:r>
      <w:r w:rsidR="00AF2612">
        <w:rPr>
          <w:rFonts w:ascii="Calibri" w:eastAsia="Calibri" w:hAnsi="Calibri" w:cs="Times New Roman"/>
        </w:rPr>
        <w:t>approaches</w:t>
      </w:r>
      <w:r w:rsidR="00AF2612" w:rsidRPr="00E94544">
        <w:rPr>
          <w:rFonts w:ascii="Calibri" w:eastAsia="Calibri" w:hAnsi="Calibri" w:cs="Times New Roman"/>
        </w:rPr>
        <w:t xml:space="preserve"> </w:t>
      </w:r>
      <w:r w:rsidR="00E94544" w:rsidRPr="00E94544">
        <w:rPr>
          <w:rFonts w:ascii="Calibri" w:eastAsia="Calibri" w:hAnsi="Calibri" w:cs="Times New Roman"/>
        </w:rPr>
        <w:t xml:space="preserve">can </w:t>
      </w:r>
      <w:r w:rsidR="00C458CC">
        <w:rPr>
          <w:rFonts w:ascii="Calibri" w:eastAsia="Calibri" w:hAnsi="Calibri" w:cs="Times New Roman"/>
        </w:rPr>
        <w:t xml:space="preserve">be </w:t>
      </w:r>
      <w:r w:rsidR="00AF2612">
        <w:rPr>
          <w:rFonts w:ascii="Calibri" w:eastAsia="Calibri" w:hAnsi="Calibri" w:cs="Times New Roman"/>
        </w:rPr>
        <w:t>use</w:t>
      </w:r>
      <w:r>
        <w:rPr>
          <w:rFonts w:ascii="Calibri" w:eastAsia="Calibri" w:hAnsi="Calibri" w:cs="Times New Roman"/>
        </w:rPr>
        <w:t>d</w:t>
      </w:r>
      <w:r w:rsidR="00AF2612">
        <w:rPr>
          <w:rFonts w:ascii="Calibri" w:eastAsia="Calibri" w:hAnsi="Calibri" w:cs="Times New Roman"/>
        </w:rPr>
        <w:t xml:space="preserve"> to </w:t>
      </w:r>
      <w:r>
        <w:rPr>
          <w:rFonts w:ascii="Calibri" w:eastAsia="Calibri" w:hAnsi="Calibri" w:cs="Times New Roman"/>
        </w:rPr>
        <w:t xml:space="preserve">assess and </w:t>
      </w:r>
      <w:r w:rsidR="00E94544" w:rsidRPr="00E94544">
        <w:rPr>
          <w:rFonts w:ascii="Calibri" w:eastAsia="Calibri" w:hAnsi="Calibri" w:cs="Times New Roman"/>
        </w:rPr>
        <w:t xml:space="preserve">understand the effects of the transition to ICD-10-CM </w:t>
      </w:r>
      <w:r>
        <w:rPr>
          <w:rFonts w:ascii="Calibri" w:eastAsia="Calibri" w:hAnsi="Calibri" w:cs="Times New Roman"/>
        </w:rPr>
        <w:t xml:space="preserve">coding on birth defects surveillance </w:t>
      </w:r>
      <w:r w:rsidR="00E94544" w:rsidRPr="00E94544">
        <w:rPr>
          <w:rFonts w:ascii="Calibri" w:eastAsia="Calibri" w:hAnsi="Calibri" w:cs="Times New Roman"/>
        </w:rPr>
        <w:t>data.</w:t>
      </w:r>
      <w:r>
        <w:rPr>
          <w:rFonts w:ascii="Calibri" w:eastAsia="Calibri" w:hAnsi="Calibri" w:cs="Times New Roman"/>
        </w:rPr>
        <w:t xml:space="preserve"> </w:t>
      </w:r>
      <w:r w:rsidR="00C458CC">
        <w:rPr>
          <w:rFonts w:ascii="Calibri" w:eastAsia="Calibri" w:hAnsi="Calibri" w:cs="Times New Roman"/>
        </w:rPr>
        <w:t>I</w:t>
      </w:r>
      <w:r w:rsidR="00B70731">
        <w:rPr>
          <w:rFonts w:ascii="Calibri" w:eastAsia="Calibri" w:hAnsi="Calibri" w:cs="Times New Roman"/>
        </w:rPr>
        <w:t>mplementation of ICD-10-CM could affect processes at multiple levels both internal and external to the program</w:t>
      </w:r>
      <w:r w:rsidR="002D5DE9">
        <w:rPr>
          <w:rFonts w:ascii="Calibri" w:eastAsia="Calibri" w:hAnsi="Calibri" w:cs="Times New Roman"/>
        </w:rPr>
        <w:t>. T</w:t>
      </w:r>
      <w:r w:rsidR="00C458CC">
        <w:rPr>
          <w:rFonts w:ascii="Calibri" w:eastAsia="Calibri" w:hAnsi="Calibri" w:cs="Times New Roman"/>
        </w:rPr>
        <w:t>hus</w:t>
      </w:r>
      <w:r w:rsidR="002D5DE9">
        <w:rPr>
          <w:rFonts w:ascii="Calibri" w:eastAsia="Calibri" w:hAnsi="Calibri" w:cs="Times New Roman"/>
        </w:rPr>
        <w:t>,</w:t>
      </w:r>
      <w:r w:rsidR="00C458CC">
        <w:rPr>
          <w:rFonts w:ascii="Calibri" w:eastAsia="Calibri" w:hAnsi="Calibri" w:cs="Times New Roman"/>
        </w:rPr>
        <w:t xml:space="preserve"> </w:t>
      </w:r>
      <w:r w:rsidR="00E67F9B">
        <w:rPr>
          <w:rFonts w:ascii="Calibri" w:eastAsia="Calibri" w:hAnsi="Calibri" w:cs="Times New Roman"/>
        </w:rPr>
        <w:t xml:space="preserve">no single approach </w:t>
      </w:r>
      <w:r w:rsidR="000B3AFC">
        <w:rPr>
          <w:rFonts w:ascii="Calibri" w:eastAsia="Calibri" w:hAnsi="Calibri" w:cs="Times New Roman"/>
        </w:rPr>
        <w:t>will</w:t>
      </w:r>
      <w:r w:rsidR="00E67F9B">
        <w:rPr>
          <w:rFonts w:ascii="Calibri" w:eastAsia="Calibri" w:hAnsi="Calibri" w:cs="Times New Roman"/>
        </w:rPr>
        <w:t xml:space="preserve"> reveal all </w:t>
      </w:r>
      <w:r w:rsidR="00E67F9B">
        <w:rPr>
          <w:rFonts w:ascii="Calibri" w:eastAsia="Calibri" w:hAnsi="Calibri" w:cs="Times New Roman"/>
        </w:rPr>
        <w:lastRenderedPageBreak/>
        <w:t xml:space="preserve">changes in the data that may result. The exact </w:t>
      </w:r>
      <w:r w:rsidR="002D1D0A">
        <w:rPr>
          <w:rFonts w:ascii="Calibri" w:eastAsia="Calibri" w:hAnsi="Calibri" w:cs="Times New Roman"/>
        </w:rPr>
        <w:t xml:space="preserve">approach </w:t>
      </w:r>
      <w:r w:rsidR="00E67F9B">
        <w:rPr>
          <w:rFonts w:ascii="Calibri" w:eastAsia="Calibri" w:hAnsi="Calibri" w:cs="Times New Roman"/>
        </w:rPr>
        <w:t>utilized will vary among programs depending on their individual needs and situation</w:t>
      </w:r>
      <w:r w:rsidR="002D5DE9">
        <w:rPr>
          <w:rFonts w:ascii="Calibri" w:eastAsia="Calibri" w:hAnsi="Calibri" w:cs="Times New Roman"/>
        </w:rPr>
        <w:t>s</w:t>
      </w:r>
      <w:r w:rsidR="00E67F9B">
        <w:rPr>
          <w:rFonts w:ascii="Calibri" w:eastAsia="Calibri" w:hAnsi="Calibri" w:cs="Times New Roman"/>
        </w:rPr>
        <w:t xml:space="preserve">. Approaches to identifying changes in the data that resulted from the implementation of ICD-10-CM </w:t>
      </w:r>
      <w:r w:rsidR="00177C56">
        <w:rPr>
          <w:rFonts w:ascii="Calibri" w:eastAsia="Calibri" w:hAnsi="Calibri" w:cs="Times New Roman"/>
        </w:rPr>
        <w:t xml:space="preserve">can </w:t>
      </w:r>
      <w:r w:rsidR="00E67F9B">
        <w:rPr>
          <w:rFonts w:ascii="Calibri" w:eastAsia="Calibri" w:hAnsi="Calibri" w:cs="Times New Roman"/>
        </w:rPr>
        <w:t>include the following:</w:t>
      </w:r>
    </w:p>
    <w:p w14:paraId="45CA38AE" w14:textId="77777777" w:rsidR="007B1869" w:rsidRPr="00E94544" w:rsidRDefault="007B1869" w:rsidP="007B1869">
      <w:pPr>
        <w:spacing w:after="0" w:line="240" w:lineRule="auto"/>
        <w:rPr>
          <w:rFonts w:ascii="Calibri" w:eastAsia="Calibri" w:hAnsi="Calibri" w:cs="Times New Roman"/>
        </w:rPr>
      </w:pPr>
    </w:p>
    <w:p w14:paraId="44702191" w14:textId="3984F565" w:rsidR="00E62D41" w:rsidRDefault="00E62D41" w:rsidP="001B5480">
      <w:pPr>
        <w:numPr>
          <w:ilvl w:val="0"/>
          <w:numId w:val="1"/>
        </w:numPr>
        <w:spacing w:after="0" w:line="240" w:lineRule="auto"/>
        <w:contextualSpacing/>
        <w:rPr>
          <w:rFonts w:ascii="Calibri" w:eastAsia="Calibri" w:hAnsi="Calibri" w:cs="Times New Roman"/>
          <w:b/>
        </w:rPr>
      </w:pPr>
      <w:r w:rsidRPr="00E94544">
        <w:rPr>
          <w:rFonts w:ascii="Calibri" w:eastAsia="Calibri" w:hAnsi="Calibri" w:cs="Times New Roman"/>
          <w:b/>
        </w:rPr>
        <w:t>Familiarize yourself with the anticipated changes based on known ICD-10-CM code changes</w:t>
      </w:r>
    </w:p>
    <w:p w14:paraId="5125A2FE" w14:textId="2BEABB5A" w:rsidR="00A63BE5" w:rsidRDefault="00A63BE5" w:rsidP="007B1869">
      <w:pPr>
        <w:spacing w:after="0" w:line="240" w:lineRule="auto"/>
        <w:contextualSpacing/>
        <w:rPr>
          <w:rFonts w:ascii="Calibri" w:eastAsia="Calibri" w:hAnsi="Calibri" w:cs="Times New Roman"/>
          <w:b/>
        </w:rPr>
      </w:pPr>
    </w:p>
    <w:p w14:paraId="084DD10C" w14:textId="71F9167A" w:rsidR="00F60D64" w:rsidRPr="00E94544" w:rsidRDefault="00F60D64" w:rsidP="001B5480">
      <w:pPr>
        <w:numPr>
          <w:ilvl w:val="1"/>
          <w:numId w:val="1"/>
        </w:numPr>
        <w:spacing w:after="0" w:line="240" w:lineRule="auto"/>
        <w:contextualSpacing/>
        <w:rPr>
          <w:rFonts w:ascii="Calibri" w:eastAsia="Calibri" w:hAnsi="Calibri" w:cs="Times New Roman"/>
        </w:rPr>
      </w:pPr>
      <w:r>
        <w:rPr>
          <w:rFonts w:ascii="Calibri" w:eastAsia="Calibri" w:hAnsi="Calibri" w:cs="Times New Roman"/>
        </w:rPr>
        <w:t xml:space="preserve">The most common </w:t>
      </w:r>
      <w:r w:rsidR="00E41FCA">
        <w:rPr>
          <w:rFonts w:ascii="Calibri" w:eastAsia="Calibri" w:hAnsi="Calibri" w:cs="Times New Roman"/>
        </w:rPr>
        <w:t xml:space="preserve">type of </w:t>
      </w:r>
      <w:r>
        <w:rPr>
          <w:rFonts w:ascii="Calibri" w:eastAsia="Calibri" w:hAnsi="Calibri" w:cs="Times New Roman"/>
        </w:rPr>
        <w:t xml:space="preserve">change </w:t>
      </w:r>
      <w:r w:rsidRPr="0053001E">
        <w:rPr>
          <w:rFonts w:ascii="Calibri" w:eastAsia="Calibri" w:hAnsi="Calibri" w:cs="Times New Roman"/>
        </w:rPr>
        <w:t>is</w:t>
      </w:r>
      <w:r>
        <w:rPr>
          <w:rFonts w:ascii="Calibri" w:eastAsia="Calibri" w:hAnsi="Calibri" w:cs="Times New Roman"/>
        </w:rPr>
        <w:t xml:space="preserve"> the expansion of one </w:t>
      </w:r>
      <w:r w:rsidRPr="00E94544">
        <w:rPr>
          <w:rFonts w:ascii="Calibri" w:eastAsia="Calibri" w:hAnsi="Calibri" w:cs="Times New Roman"/>
        </w:rPr>
        <w:t>ICD-9-CM code into multiple ICD-10-CM codes</w:t>
      </w:r>
      <w:r w:rsidR="00E41FCA">
        <w:rPr>
          <w:rFonts w:ascii="Calibri" w:eastAsia="Calibri" w:hAnsi="Calibri" w:cs="Times New Roman"/>
        </w:rPr>
        <w:t>, with each ICD-10-CM code</w:t>
      </w:r>
      <w:r>
        <w:rPr>
          <w:rFonts w:ascii="Calibri" w:eastAsia="Calibri" w:hAnsi="Calibri" w:cs="Times New Roman"/>
        </w:rPr>
        <w:t xml:space="preserve"> represent</w:t>
      </w:r>
      <w:r w:rsidR="00E41FCA">
        <w:rPr>
          <w:rFonts w:ascii="Calibri" w:eastAsia="Calibri" w:hAnsi="Calibri" w:cs="Times New Roman"/>
        </w:rPr>
        <w:t>ing a</w:t>
      </w:r>
      <w:r>
        <w:rPr>
          <w:rFonts w:ascii="Calibri" w:eastAsia="Calibri" w:hAnsi="Calibri" w:cs="Times New Roman"/>
        </w:rPr>
        <w:t xml:space="preserve"> subset of the conditions included in the single ICD-9-CM code</w:t>
      </w:r>
    </w:p>
    <w:p w14:paraId="5B62CE96" w14:textId="1B2ADD57" w:rsidR="00553930" w:rsidRDefault="00F60D64" w:rsidP="001B5480">
      <w:pPr>
        <w:numPr>
          <w:ilvl w:val="2"/>
          <w:numId w:val="1"/>
        </w:numPr>
        <w:spacing w:after="0" w:line="240" w:lineRule="auto"/>
        <w:contextualSpacing/>
        <w:rPr>
          <w:rFonts w:ascii="Calibri" w:eastAsia="Calibri" w:hAnsi="Calibri" w:cs="Times New Roman"/>
        </w:rPr>
      </w:pPr>
      <w:r w:rsidRPr="00E94544">
        <w:rPr>
          <w:rFonts w:ascii="Calibri" w:eastAsia="Calibri" w:hAnsi="Calibri" w:cs="Times New Roman"/>
        </w:rPr>
        <w:t xml:space="preserve">This could </w:t>
      </w:r>
      <w:r>
        <w:rPr>
          <w:rFonts w:ascii="Calibri" w:eastAsia="Calibri" w:hAnsi="Calibri" w:cs="Times New Roman"/>
        </w:rPr>
        <w:t xml:space="preserve">appear as if there had been a </w:t>
      </w:r>
      <w:r w:rsidRPr="00E94544">
        <w:rPr>
          <w:rFonts w:ascii="Calibri" w:eastAsia="Calibri" w:hAnsi="Calibri" w:cs="Times New Roman"/>
        </w:rPr>
        <w:t xml:space="preserve">decrease </w:t>
      </w:r>
      <w:r>
        <w:rPr>
          <w:rFonts w:ascii="Calibri" w:eastAsia="Calibri" w:hAnsi="Calibri" w:cs="Times New Roman"/>
        </w:rPr>
        <w:t xml:space="preserve">in the frequency of the condition </w:t>
      </w:r>
      <w:r w:rsidRPr="00E94544">
        <w:rPr>
          <w:rFonts w:ascii="Calibri" w:eastAsia="Calibri" w:hAnsi="Calibri" w:cs="Times New Roman"/>
        </w:rPr>
        <w:t xml:space="preserve">after the transition to ICD-10-CM, when in fact </w:t>
      </w:r>
      <w:r w:rsidR="002D5DE9">
        <w:rPr>
          <w:rFonts w:ascii="Calibri" w:eastAsia="Calibri" w:hAnsi="Calibri" w:cs="Times New Roman"/>
        </w:rPr>
        <w:t>each</w:t>
      </w:r>
      <w:r w:rsidR="002D5DE9" w:rsidRPr="00E94544">
        <w:rPr>
          <w:rFonts w:ascii="Calibri" w:eastAsia="Calibri" w:hAnsi="Calibri" w:cs="Times New Roman"/>
        </w:rPr>
        <w:t xml:space="preserve"> </w:t>
      </w:r>
      <w:r w:rsidRPr="00E94544">
        <w:rPr>
          <w:rFonts w:ascii="Calibri" w:eastAsia="Calibri" w:hAnsi="Calibri" w:cs="Times New Roman"/>
        </w:rPr>
        <w:t xml:space="preserve">ICD-10-CM code is more specific and includes fewer </w:t>
      </w:r>
      <w:r>
        <w:rPr>
          <w:rFonts w:ascii="Calibri" w:eastAsia="Calibri" w:hAnsi="Calibri" w:cs="Times New Roman"/>
        </w:rPr>
        <w:t xml:space="preserve">of the total </w:t>
      </w:r>
      <w:r w:rsidRPr="00E94544">
        <w:rPr>
          <w:rFonts w:ascii="Calibri" w:eastAsia="Calibri" w:hAnsi="Calibri" w:cs="Times New Roman"/>
        </w:rPr>
        <w:t>cases</w:t>
      </w:r>
      <w:r>
        <w:rPr>
          <w:rFonts w:ascii="Calibri" w:eastAsia="Calibri" w:hAnsi="Calibri" w:cs="Times New Roman"/>
        </w:rPr>
        <w:t xml:space="preserve"> included in the single ICD-9-CM code</w:t>
      </w:r>
    </w:p>
    <w:p w14:paraId="2C597887" w14:textId="19F4DC9E" w:rsidR="00F60D64" w:rsidRPr="00AF2612" w:rsidRDefault="00553930" w:rsidP="001B5480">
      <w:pPr>
        <w:numPr>
          <w:ilvl w:val="2"/>
          <w:numId w:val="1"/>
        </w:numPr>
        <w:spacing w:after="0" w:line="240" w:lineRule="auto"/>
        <w:contextualSpacing/>
        <w:rPr>
          <w:rFonts w:ascii="Calibri" w:eastAsia="Calibri" w:hAnsi="Calibri" w:cs="Times New Roman"/>
        </w:rPr>
      </w:pPr>
      <w:r>
        <w:rPr>
          <w:rFonts w:ascii="Calibri" w:eastAsia="Calibri" w:hAnsi="Calibri" w:cs="Times New Roman"/>
        </w:rPr>
        <w:t>An example is encephalocele for which there is a single ICD-9-CM code (</w:t>
      </w:r>
      <w:r w:rsidR="007D12C6">
        <w:rPr>
          <w:rFonts w:ascii="Calibri" w:eastAsia="Calibri" w:hAnsi="Calibri" w:cs="Times New Roman"/>
        </w:rPr>
        <w:t>742.0) and five ICD-10-CM codes (Q01.0, Q01.2, Q01.3, Q01.8, Q01.9), one for each of the different types</w:t>
      </w:r>
      <w:r w:rsidR="00F60D64">
        <w:rPr>
          <w:rFonts w:ascii="Calibri" w:eastAsia="Calibri" w:hAnsi="Calibri" w:cs="Times New Roman"/>
        </w:rPr>
        <w:t xml:space="preserve"> </w:t>
      </w:r>
    </w:p>
    <w:p w14:paraId="1CC493D7" w14:textId="567A1EA8" w:rsidR="00E62D41" w:rsidRPr="00E94544" w:rsidRDefault="00F60D64" w:rsidP="001B5480">
      <w:pPr>
        <w:numPr>
          <w:ilvl w:val="1"/>
          <w:numId w:val="1"/>
        </w:numPr>
        <w:spacing w:after="0" w:line="240" w:lineRule="auto"/>
        <w:contextualSpacing/>
        <w:rPr>
          <w:rFonts w:ascii="Calibri" w:eastAsia="Calibri" w:hAnsi="Calibri" w:cs="Times New Roman"/>
        </w:rPr>
      </w:pPr>
      <w:r>
        <w:rPr>
          <w:rFonts w:ascii="Calibri" w:eastAsia="Calibri" w:hAnsi="Calibri" w:cs="Times New Roman"/>
        </w:rPr>
        <w:t xml:space="preserve">Occasionally, </w:t>
      </w:r>
      <w:r w:rsidR="00E62D41" w:rsidRPr="00E94544">
        <w:rPr>
          <w:rFonts w:ascii="Calibri" w:eastAsia="Calibri" w:hAnsi="Calibri" w:cs="Times New Roman"/>
        </w:rPr>
        <w:t xml:space="preserve">multiple ICD-9-CM codes </w:t>
      </w:r>
      <w:r w:rsidR="002D5DE9">
        <w:rPr>
          <w:rFonts w:ascii="Calibri" w:eastAsia="Calibri" w:hAnsi="Calibri" w:cs="Times New Roman"/>
        </w:rPr>
        <w:t>a</w:t>
      </w:r>
      <w:r w:rsidR="002D5DE9" w:rsidRPr="00E94544">
        <w:rPr>
          <w:rFonts w:ascii="Calibri" w:eastAsia="Calibri" w:hAnsi="Calibri" w:cs="Times New Roman"/>
        </w:rPr>
        <w:t xml:space="preserve">re </w:t>
      </w:r>
      <w:r w:rsidR="00E62D41" w:rsidRPr="00E94544">
        <w:rPr>
          <w:rFonts w:ascii="Calibri" w:eastAsia="Calibri" w:hAnsi="Calibri" w:cs="Times New Roman"/>
        </w:rPr>
        <w:t>lumped together into one ICD-10-CM code</w:t>
      </w:r>
    </w:p>
    <w:p w14:paraId="1EA2CEA7" w14:textId="77777777" w:rsidR="004D2E9D" w:rsidRDefault="00E62D41" w:rsidP="001B5480">
      <w:pPr>
        <w:numPr>
          <w:ilvl w:val="2"/>
          <w:numId w:val="1"/>
        </w:numPr>
        <w:spacing w:after="0" w:line="240" w:lineRule="auto"/>
        <w:contextualSpacing/>
        <w:rPr>
          <w:rFonts w:ascii="Calibri" w:eastAsia="Calibri" w:hAnsi="Calibri" w:cs="Times New Roman"/>
        </w:rPr>
      </w:pPr>
      <w:r w:rsidRPr="00E94544">
        <w:rPr>
          <w:rFonts w:ascii="Calibri" w:eastAsia="Calibri" w:hAnsi="Calibri" w:cs="Times New Roman"/>
        </w:rPr>
        <w:t xml:space="preserve">This could </w:t>
      </w:r>
      <w:r w:rsidR="00F60D64">
        <w:rPr>
          <w:rFonts w:ascii="Calibri" w:eastAsia="Calibri" w:hAnsi="Calibri" w:cs="Times New Roman"/>
        </w:rPr>
        <w:t xml:space="preserve">appear as if there had been an </w:t>
      </w:r>
      <w:r w:rsidRPr="00E94544">
        <w:rPr>
          <w:rFonts w:ascii="Calibri" w:eastAsia="Calibri" w:hAnsi="Calibri" w:cs="Times New Roman"/>
        </w:rPr>
        <w:t xml:space="preserve">increase </w:t>
      </w:r>
      <w:r w:rsidR="00F60D64">
        <w:rPr>
          <w:rFonts w:ascii="Calibri" w:eastAsia="Calibri" w:hAnsi="Calibri" w:cs="Times New Roman"/>
        </w:rPr>
        <w:t xml:space="preserve">in the frequency of the condition </w:t>
      </w:r>
      <w:r w:rsidR="00D568D8">
        <w:rPr>
          <w:rFonts w:ascii="Calibri" w:eastAsia="Calibri" w:hAnsi="Calibri" w:cs="Times New Roman"/>
        </w:rPr>
        <w:t>after the ICD-10-CM transition</w:t>
      </w:r>
      <w:r w:rsidRPr="00E94544">
        <w:rPr>
          <w:rFonts w:ascii="Calibri" w:eastAsia="Calibri" w:hAnsi="Calibri" w:cs="Times New Roman"/>
        </w:rPr>
        <w:t>, when in fact the ICD-10 code is just less specific and includes more conditions</w:t>
      </w:r>
    </w:p>
    <w:p w14:paraId="4EF3B9A1" w14:textId="37118F77" w:rsidR="00D568D8" w:rsidRDefault="004D2E9D" w:rsidP="001B5480">
      <w:pPr>
        <w:numPr>
          <w:ilvl w:val="2"/>
          <w:numId w:val="1"/>
        </w:numPr>
        <w:spacing w:after="0" w:line="240" w:lineRule="auto"/>
        <w:contextualSpacing/>
        <w:rPr>
          <w:rFonts w:ascii="Calibri" w:eastAsia="Calibri" w:hAnsi="Calibri" w:cs="Times New Roman"/>
        </w:rPr>
      </w:pPr>
      <w:r>
        <w:rPr>
          <w:rFonts w:ascii="Calibri" w:eastAsia="Calibri" w:hAnsi="Calibri" w:cs="Times New Roman"/>
        </w:rPr>
        <w:t xml:space="preserve">An example is </w:t>
      </w:r>
      <w:r w:rsidR="00FE6A85">
        <w:rPr>
          <w:rFonts w:ascii="Calibri" w:eastAsia="Calibri" w:hAnsi="Calibri" w:cs="Times New Roman"/>
        </w:rPr>
        <w:t>congenital cataract for which there are five ICD-9-CM codes (743.30, 743.31, 743.32, 743.33, 643.34), one for each of the different types of cataract, and only one ICD-10-CM code (Q12.0)</w:t>
      </w:r>
    </w:p>
    <w:p w14:paraId="170FAE27" w14:textId="25F6FAE2" w:rsidR="007D2639" w:rsidRDefault="00D568D8" w:rsidP="001B5480">
      <w:pPr>
        <w:numPr>
          <w:ilvl w:val="1"/>
          <w:numId w:val="1"/>
        </w:numPr>
        <w:spacing w:after="0" w:line="240" w:lineRule="auto"/>
        <w:contextualSpacing/>
        <w:rPr>
          <w:rFonts w:ascii="Calibri" w:eastAsia="Calibri" w:hAnsi="Calibri" w:cs="Times New Roman"/>
        </w:rPr>
      </w:pPr>
      <w:r>
        <w:rPr>
          <w:rFonts w:ascii="Calibri" w:eastAsia="Calibri" w:hAnsi="Calibri" w:cs="Times New Roman"/>
        </w:rPr>
        <w:t xml:space="preserve">Some conditions </w:t>
      </w:r>
      <w:r w:rsidR="00621C45">
        <w:rPr>
          <w:rFonts w:ascii="Calibri" w:eastAsia="Calibri" w:hAnsi="Calibri" w:cs="Times New Roman"/>
        </w:rPr>
        <w:t xml:space="preserve">are </w:t>
      </w:r>
      <w:r>
        <w:rPr>
          <w:rFonts w:ascii="Calibri" w:eastAsia="Calibri" w:hAnsi="Calibri" w:cs="Times New Roman"/>
        </w:rPr>
        <w:t xml:space="preserve">rearranged in ICD-10-CM such that it </w:t>
      </w:r>
      <w:r w:rsidRPr="0053001E">
        <w:rPr>
          <w:rFonts w:ascii="Calibri" w:eastAsia="Calibri" w:hAnsi="Calibri" w:cs="Times New Roman"/>
        </w:rPr>
        <w:t>is</w:t>
      </w:r>
      <w:r>
        <w:rPr>
          <w:rFonts w:ascii="Calibri" w:eastAsia="Calibri" w:hAnsi="Calibri" w:cs="Times New Roman"/>
        </w:rPr>
        <w:t xml:space="preserve"> impossible to recreate the exact combination represented by one or more ICD-9-CM codes</w:t>
      </w:r>
    </w:p>
    <w:p w14:paraId="3C68629E" w14:textId="04A48867" w:rsidR="00E62D41" w:rsidRDefault="007D2639" w:rsidP="007D2639">
      <w:pPr>
        <w:numPr>
          <w:ilvl w:val="2"/>
          <w:numId w:val="1"/>
        </w:numPr>
        <w:spacing w:after="0" w:line="240" w:lineRule="auto"/>
        <w:contextualSpacing/>
        <w:rPr>
          <w:rFonts w:ascii="Calibri" w:eastAsia="Calibri" w:hAnsi="Calibri" w:cs="Times New Roman"/>
        </w:rPr>
      </w:pPr>
      <w:r>
        <w:rPr>
          <w:rFonts w:ascii="Calibri" w:eastAsia="Calibri" w:hAnsi="Calibri" w:cs="Times New Roman"/>
        </w:rPr>
        <w:t xml:space="preserve">An example is epispadias which is included </w:t>
      </w:r>
      <w:r w:rsidR="00193A6C">
        <w:rPr>
          <w:rFonts w:ascii="Calibri" w:eastAsia="Calibri" w:hAnsi="Calibri" w:cs="Times New Roman"/>
        </w:rPr>
        <w:t>under congenital anomalies of genital organs (752.62) in ICD-9-CM and is included under congenital malformations of the urinary system (Q64.0) in ICD-10-CM</w:t>
      </w:r>
      <w:r w:rsidR="00D568D8">
        <w:rPr>
          <w:rFonts w:ascii="Calibri" w:eastAsia="Calibri" w:hAnsi="Calibri" w:cs="Times New Roman"/>
        </w:rPr>
        <w:t xml:space="preserve"> </w:t>
      </w:r>
      <w:r w:rsidR="00E62D41">
        <w:rPr>
          <w:rFonts w:ascii="Calibri" w:eastAsia="Calibri" w:hAnsi="Calibri" w:cs="Times New Roman"/>
        </w:rPr>
        <w:t xml:space="preserve"> </w:t>
      </w:r>
    </w:p>
    <w:p w14:paraId="7E3F50E4" w14:textId="3706922A" w:rsidR="006B64A8" w:rsidRDefault="006B64A8" w:rsidP="000F6B5F">
      <w:pPr>
        <w:numPr>
          <w:ilvl w:val="1"/>
          <w:numId w:val="1"/>
        </w:numPr>
        <w:spacing w:after="0" w:line="240" w:lineRule="auto"/>
        <w:contextualSpacing/>
        <w:rPr>
          <w:rFonts w:ascii="Calibri" w:eastAsia="Calibri" w:hAnsi="Calibri" w:cs="Times New Roman"/>
        </w:rPr>
      </w:pPr>
      <w:r w:rsidRPr="006B64A8">
        <w:rPr>
          <w:rFonts w:ascii="Calibri" w:eastAsia="Calibri" w:hAnsi="Calibri" w:cs="Times New Roman"/>
        </w:rPr>
        <w:t xml:space="preserve">A list of anticipated changes </w:t>
      </w:r>
      <w:r w:rsidRPr="006B64A8">
        <w:rPr>
          <w:rFonts w:cstheme="minorHAnsi"/>
        </w:rPr>
        <w:t>to the prevalence of the 47 defects</w:t>
      </w:r>
      <w:r w:rsidRPr="006B64A8">
        <w:rPr>
          <w:rFonts w:ascii="Calibri" w:eastAsia="Calibri" w:hAnsi="Calibri" w:cs="Times New Roman"/>
        </w:rPr>
        <w:t xml:space="preserve"> reported by NBDPN based on the known ICD-10-CM code changes can be found at: </w:t>
      </w:r>
      <w:hyperlink r:id="rId10" w:history="1">
        <w:r w:rsidRPr="006B64A8">
          <w:rPr>
            <w:rStyle w:val="Hyperlink"/>
            <w:rFonts w:cstheme="minorHAnsi"/>
          </w:rPr>
          <w:t>https://www.nbdpn.org/icd10.php</w:t>
        </w:r>
      </w:hyperlink>
      <w:r w:rsidRPr="006B64A8">
        <w:rPr>
          <w:rFonts w:ascii="Calibri" w:eastAsia="Calibri" w:hAnsi="Calibri" w:cs="Times New Roman"/>
        </w:rPr>
        <w:t xml:space="preserve"> </w:t>
      </w:r>
    </w:p>
    <w:p w14:paraId="42D96067" w14:textId="77777777" w:rsidR="00C540EC" w:rsidRDefault="000F6B5F" w:rsidP="00C540EC">
      <w:pPr>
        <w:spacing w:after="0" w:line="240" w:lineRule="auto"/>
        <w:ind w:left="1800" w:hanging="360"/>
        <w:contextualSpacing/>
        <w:rPr>
          <w:rFonts w:ascii="Calibri" w:eastAsia="Calibri" w:hAnsi="Calibri" w:cs="Times New Roman"/>
        </w:rPr>
      </w:pPr>
      <w:r>
        <w:rPr>
          <w:rFonts w:ascii="Calibri" w:eastAsia="Calibri" w:hAnsi="Calibri" w:cs="Times New Roman"/>
        </w:rPr>
        <w:t>Anticipated changes to other defects are discussed in</w:t>
      </w:r>
      <w:r w:rsidR="00C540EC">
        <w:rPr>
          <w:rFonts w:ascii="Calibri" w:eastAsia="Calibri" w:hAnsi="Calibri" w:cs="Times New Roman"/>
        </w:rPr>
        <w:t xml:space="preserve"> </w:t>
      </w:r>
      <w:r>
        <w:rPr>
          <w:rFonts w:ascii="Calibri" w:eastAsia="Calibri" w:hAnsi="Calibri" w:cs="Times New Roman"/>
        </w:rPr>
        <w:t>th</w:t>
      </w:r>
      <w:r w:rsidR="00C540EC">
        <w:rPr>
          <w:rFonts w:ascii="Calibri" w:eastAsia="Calibri" w:hAnsi="Calibri" w:cs="Times New Roman"/>
        </w:rPr>
        <w:t>e</w:t>
      </w:r>
      <w:r>
        <w:rPr>
          <w:rFonts w:ascii="Calibri" w:eastAsia="Calibri" w:hAnsi="Calibri" w:cs="Times New Roman"/>
        </w:rPr>
        <w:t xml:space="preserve"> webinars also available from: </w:t>
      </w:r>
    </w:p>
    <w:p w14:paraId="12223372" w14:textId="402C1DD8" w:rsidR="000F6B5F" w:rsidRPr="006B64A8" w:rsidRDefault="00513199" w:rsidP="00C540EC">
      <w:pPr>
        <w:spacing w:after="0" w:line="240" w:lineRule="auto"/>
        <w:ind w:left="1800" w:hanging="360"/>
        <w:contextualSpacing/>
        <w:rPr>
          <w:rFonts w:ascii="Calibri" w:eastAsia="Calibri" w:hAnsi="Calibri" w:cs="Times New Roman"/>
        </w:rPr>
      </w:pPr>
      <w:hyperlink r:id="rId11" w:history="1">
        <w:r w:rsidR="00C540EC" w:rsidRPr="00964EEB">
          <w:rPr>
            <w:rStyle w:val="Hyperlink"/>
            <w:rFonts w:cstheme="minorHAnsi"/>
          </w:rPr>
          <w:t>https://www.nbdpn.org/icd10.php</w:t>
        </w:r>
      </w:hyperlink>
    </w:p>
    <w:p w14:paraId="091DD81D" w14:textId="44C85C31" w:rsidR="006B64A8" w:rsidRDefault="006B64A8" w:rsidP="00B35D9F">
      <w:pPr>
        <w:numPr>
          <w:ilvl w:val="1"/>
          <w:numId w:val="1"/>
        </w:numPr>
        <w:spacing w:after="0" w:line="240" w:lineRule="auto"/>
        <w:contextualSpacing/>
        <w:rPr>
          <w:rFonts w:ascii="Calibri" w:eastAsia="Calibri" w:hAnsi="Calibri" w:cs="Times New Roman"/>
        </w:rPr>
      </w:pPr>
      <w:r>
        <w:rPr>
          <w:rFonts w:ascii="Calibri" w:eastAsia="Calibri" w:hAnsi="Calibri" w:cs="Times New Roman"/>
        </w:rPr>
        <w:t xml:space="preserve">In addition, each year on </w:t>
      </w:r>
      <w:r w:rsidR="00D1400F" w:rsidRPr="00D1400F">
        <w:rPr>
          <w:rFonts w:ascii="Calibri" w:eastAsia="Calibri" w:hAnsi="Calibri" w:cs="Times New Roman"/>
        </w:rPr>
        <w:t>October</w:t>
      </w:r>
      <w:r>
        <w:rPr>
          <w:rFonts w:ascii="Calibri" w:eastAsia="Calibri" w:hAnsi="Calibri" w:cs="Times New Roman"/>
        </w:rPr>
        <w:t xml:space="preserve"> 1</w:t>
      </w:r>
      <w:r w:rsidR="00D1400F" w:rsidRPr="00D1400F">
        <w:rPr>
          <w:rFonts w:ascii="Calibri" w:eastAsia="Calibri" w:hAnsi="Calibri" w:cs="Times New Roman"/>
        </w:rPr>
        <w:t xml:space="preserve"> </w:t>
      </w:r>
      <w:r>
        <w:rPr>
          <w:rFonts w:ascii="Calibri" w:eastAsia="Calibri" w:hAnsi="Calibri" w:cs="Times New Roman"/>
        </w:rPr>
        <w:t xml:space="preserve">the National Center for Health Statistics, CDC, releases </w:t>
      </w:r>
      <w:r w:rsidR="00D1400F" w:rsidRPr="00D1400F">
        <w:rPr>
          <w:rFonts w:ascii="Calibri" w:eastAsia="Calibri" w:hAnsi="Calibri" w:cs="Times New Roman"/>
        </w:rPr>
        <w:t>revis</w:t>
      </w:r>
      <w:r>
        <w:rPr>
          <w:rFonts w:ascii="Calibri" w:eastAsia="Calibri" w:hAnsi="Calibri" w:cs="Times New Roman"/>
        </w:rPr>
        <w:t xml:space="preserve">ions and updates to the </w:t>
      </w:r>
      <w:r w:rsidR="00D1400F" w:rsidRPr="00D1400F">
        <w:rPr>
          <w:rFonts w:ascii="Calibri" w:eastAsia="Calibri" w:hAnsi="Calibri" w:cs="Times New Roman"/>
        </w:rPr>
        <w:t>ICD-10-CM code</w:t>
      </w:r>
    </w:p>
    <w:p w14:paraId="558591BA" w14:textId="54D08650" w:rsidR="006B64A8" w:rsidRPr="006B64A8" w:rsidRDefault="006B64A8" w:rsidP="00B35D9F">
      <w:pPr>
        <w:numPr>
          <w:ilvl w:val="2"/>
          <w:numId w:val="1"/>
        </w:numPr>
        <w:spacing w:after="0" w:line="240" w:lineRule="auto"/>
        <w:contextualSpacing/>
        <w:rPr>
          <w:rFonts w:ascii="Calibri" w:eastAsia="Calibri" w:hAnsi="Calibri" w:cs="Times New Roman"/>
        </w:rPr>
      </w:pPr>
      <w:r w:rsidRPr="006B64A8">
        <w:rPr>
          <w:rFonts w:ascii="Calibri" w:eastAsia="Calibri" w:hAnsi="Calibri" w:cs="Times New Roman"/>
        </w:rPr>
        <w:t xml:space="preserve">A list of these updates to the ICD-10-CM codes for </w:t>
      </w:r>
      <w:r w:rsidR="008A4957">
        <w:rPr>
          <w:rFonts w:ascii="Calibri" w:eastAsia="Calibri" w:hAnsi="Calibri" w:cs="Times New Roman"/>
        </w:rPr>
        <w:t>congenital malformations</w:t>
      </w:r>
      <w:r w:rsidR="006B1D95">
        <w:rPr>
          <w:rFonts w:ascii="Calibri" w:eastAsia="Calibri" w:hAnsi="Calibri" w:cs="Times New Roman"/>
        </w:rPr>
        <w:t>, deformations and chromosomal abnormalities</w:t>
      </w:r>
      <w:r w:rsidRPr="006B64A8">
        <w:rPr>
          <w:rFonts w:ascii="Calibri" w:eastAsia="Calibri" w:hAnsi="Calibri" w:cs="Times New Roman"/>
        </w:rPr>
        <w:t xml:space="preserve"> (Q</w:t>
      </w:r>
      <w:r w:rsidR="006B1D95">
        <w:rPr>
          <w:rFonts w:ascii="Calibri" w:eastAsia="Calibri" w:hAnsi="Calibri" w:cs="Times New Roman"/>
        </w:rPr>
        <w:t xml:space="preserve"> Codes, Chapter 17</w:t>
      </w:r>
      <w:r w:rsidRPr="006B64A8">
        <w:rPr>
          <w:rFonts w:ascii="Calibri" w:eastAsia="Calibri" w:hAnsi="Calibri" w:cs="Times New Roman"/>
        </w:rPr>
        <w:t xml:space="preserve">) </w:t>
      </w:r>
      <w:r w:rsidR="005B32F3">
        <w:rPr>
          <w:rFonts w:ascii="Calibri" w:eastAsia="Calibri" w:hAnsi="Calibri" w:cs="Times New Roman"/>
        </w:rPr>
        <w:t xml:space="preserve">by year </w:t>
      </w:r>
      <w:r w:rsidRPr="006B64A8">
        <w:rPr>
          <w:rFonts w:ascii="Calibri" w:eastAsia="Calibri" w:hAnsi="Calibri" w:cs="Times New Roman"/>
        </w:rPr>
        <w:t xml:space="preserve">is </w:t>
      </w:r>
      <w:r>
        <w:rPr>
          <w:rFonts w:ascii="Calibri" w:eastAsia="Calibri" w:hAnsi="Calibri" w:cs="Times New Roman"/>
        </w:rPr>
        <w:t xml:space="preserve">also </w:t>
      </w:r>
      <w:r w:rsidRPr="006B64A8">
        <w:rPr>
          <w:rFonts w:ascii="Calibri" w:eastAsia="Calibri" w:hAnsi="Calibri" w:cs="Times New Roman"/>
        </w:rPr>
        <w:t xml:space="preserve">available at: </w:t>
      </w:r>
      <w:hyperlink r:id="rId12" w:history="1">
        <w:r w:rsidRPr="006B64A8">
          <w:rPr>
            <w:rStyle w:val="Hyperlink"/>
            <w:rFonts w:cstheme="minorHAnsi"/>
          </w:rPr>
          <w:t>https://www.nbdpn.org/icd10.php</w:t>
        </w:r>
      </w:hyperlink>
      <w:r w:rsidRPr="006B64A8">
        <w:rPr>
          <w:rFonts w:ascii="Calibri" w:eastAsia="Calibri" w:hAnsi="Calibri" w:cs="Times New Roman"/>
        </w:rPr>
        <w:t xml:space="preserve"> </w:t>
      </w:r>
    </w:p>
    <w:p w14:paraId="6458F9B3" w14:textId="77777777" w:rsidR="00E62D41" w:rsidRDefault="00E62D41" w:rsidP="007B1869">
      <w:pPr>
        <w:spacing w:after="0" w:line="240" w:lineRule="auto"/>
        <w:contextualSpacing/>
        <w:rPr>
          <w:rFonts w:ascii="Calibri" w:eastAsia="Calibri" w:hAnsi="Calibri" w:cs="Times New Roman"/>
          <w:b/>
        </w:rPr>
      </w:pPr>
    </w:p>
    <w:p w14:paraId="0BBC3863" w14:textId="5FCFF291" w:rsidR="00AD3746" w:rsidRDefault="006839EF" w:rsidP="001B5480">
      <w:pPr>
        <w:numPr>
          <w:ilvl w:val="0"/>
          <w:numId w:val="1"/>
        </w:numPr>
        <w:spacing w:after="0" w:line="240" w:lineRule="auto"/>
        <w:contextualSpacing/>
        <w:rPr>
          <w:rFonts w:ascii="Calibri" w:eastAsia="Calibri" w:hAnsi="Calibri" w:cs="Times New Roman"/>
          <w:b/>
        </w:rPr>
      </w:pPr>
      <w:r>
        <w:rPr>
          <w:rFonts w:ascii="Calibri" w:eastAsia="Calibri" w:hAnsi="Calibri" w:cs="Times New Roman"/>
          <w:b/>
        </w:rPr>
        <w:t xml:space="preserve">Compare </w:t>
      </w:r>
      <w:r w:rsidR="00FA0970">
        <w:rPr>
          <w:rFonts w:ascii="Calibri" w:eastAsia="Calibri" w:hAnsi="Calibri" w:cs="Times New Roman"/>
          <w:b/>
        </w:rPr>
        <w:t>the</w:t>
      </w:r>
      <w:r w:rsidR="00AD3746">
        <w:rPr>
          <w:rFonts w:ascii="Calibri" w:eastAsia="Calibri" w:hAnsi="Calibri" w:cs="Times New Roman"/>
          <w:b/>
        </w:rPr>
        <w:t xml:space="preserve"> data for a defined time period before and after the transition to ICD-10-CM</w:t>
      </w:r>
    </w:p>
    <w:p w14:paraId="0080079D" w14:textId="77777777" w:rsidR="00AD3746" w:rsidRDefault="00AD3746" w:rsidP="007B1869">
      <w:pPr>
        <w:spacing w:after="0" w:line="240" w:lineRule="auto"/>
        <w:contextualSpacing/>
        <w:rPr>
          <w:rFonts w:ascii="Calibri" w:eastAsia="Calibri" w:hAnsi="Calibri" w:cs="Times New Roman"/>
          <w:b/>
        </w:rPr>
      </w:pPr>
    </w:p>
    <w:p w14:paraId="2C1F54DA" w14:textId="1722C451" w:rsidR="00F60D64" w:rsidRDefault="00AD3746" w:rsidP="001B5480">
      <w:pPr>
        <w:numPr>
          <w:ilvl w:val="1"/>
          <w:numId w:val="1"/>
        </w:numPr>
        <w:spacing w:after="0" w:line="240" w:lineRule="auto"/>
        <w:contextualSpacing/>
        <w:rPr>
          <w:rFonts w:ascii="Calibri" w:eastAsia="Calibri" w:hAnsi="Calibri" w:cs="Times New Roman"/>
        </w:rPr>
      </w:pPr>
      <w:r>
        <w:rPr>
          <w:rFonts w:ascii="Calibri" w:eastAsia="Calibri" w:hAnsi="Calibri" w:cs="Times New Roman"/>
        </w:rPr>
        <w:t>Compar</w:t>
      </w:r>
      <w:r w:rsidR="00177C56">
        <w:rPr>
          <w:rFonts w:ascii="Calibri" w:eastAsia="Calibri" w:hAnsi="Calibri" w:cs="Times New Roman"/>
        </w:rPr>
        <w:t>e</w:t>
      </w:r>
      <w:r>
        <w:rPr>
          <w:rFonts w:ascii="Calibri" w:eastAsia="Calibri" w:hAnsi="Calibri" w:cs="Times New Roman"/>
        </w:rPr>
        <w:t xml:space="preserve"> the </w:t>
      </w:r>
      <w:r w:rsidR="006839EF" w:rsidRPr="00AD3746">
        <w:rPr>
          <w:rFonts w:ascii="Calibri" w:eastAsia="Calibri" w:hAnsi="Calibri" w:cs="Times New Roman"/>
        </w:rPr>
        <w:t xml:space="preserve">total </w:t>
      </w:r>
      <w:r w:rsidR="00FA0970" w:rsidRPr="00AD3746">
        <w:rPr>
          <w:rFonts w:ascii="Calibri" w:eastAsia="Calibri" w:hAnsi="Calibri" w:cs="Times New Roman"/>
        </w:rPr>
        <w:t xml:space="preserve">number of </w:t>
      </w:r>
      <w:r w:rsidR="006839EF" w:rsidRPr="00AD3746">
        <w:rPr>
          <w:rFonts w:ascii="Calibri" w:eastAsia="Calibri" w:hAnsi="Calibri" w:cs="Times New Roman"/>
        </w:rPr>
        <w:t>case reports</w:t>
      </w:r>
      <w:r>
        <w:rPr>
          <w:rFonts w:ascii="Calibri" w:eastAsia="Calibri" w:hAnsi="Calibri" w:cs="Times New Roman"/>
        </w:rPr>
        <w:t xml:space="preserve"> received</w:t>
      </w:r>
      <w:r w:rsidR="00D70026">
        <w:rPr>
          <w:rFonts w:ascii="Calibri" w:eastAsia="Calibri" w:hAnsi="Calibri" w:cs="Times New Roman"/>
        </w:rPr>
        <w:t>,</w:t>
      </w:r>
      <w:r w:rsidR="006839EF" w:rsidRPr="00AD3746">
        <w:rPr>
          <w:rFonts w:ascii="Calibri" w:eastAsia="Calibri" w:hAnsi="Calibri" w:cs="Times New Roman"/>
        </w:rPr>
        <w:t xml:space="preserve"> </w:t>
      </w:r>
      <w:r>
        <w:rPr>
          <w:rFonts w:ascii="Calibri" w:eastAsia="Calibri" w:hAnsi="Calibri" w:cs="Times New Roman"/>
        </w:rPr>
        <w:t xml:space="preserve">the total number of </w:t>
      </w:r>
      <w:r w:rsidR="006839EF" w:rsidRPr="00AD3746">
        <w:rPr>
          <w:rFonts w:ascii="Calibri" w:eastAsia="Calibri" w:hAnsi="Calibri" w:cs="Times New Roman"/>
        </w:rPr>
        <w:t xml:space="preserve">defect </w:t>
      </w:r>
      <w:r w:rsidR="00E94544" w:rsidRPr="00AD3746">
        <w:rPr>
          <w:rFonts w:ascii="Calibri" w:eastAsia="Calibri" w:hAnsi="Calibri" w:cs="Times New Roman"/>
        </w:rPr>
        <w:t>codes</w:t>
      </w:r>
      <w:r w:rsidR="00F60D64">
        <w:rPr>
          <w:rFonts w:ascii="Calibri" w:eastAsia="Calibri" w:hAnsi="Calibri" w:cs="Times New Roman"/>
        </w:rPr>
        <w:t xml:space="preserve"> included in the data</w:t>
      </w:r>
      <w:r w:rsidR="00D70026">
        <w:rPr>
          <w:rFonts w:ascii="Calibri" w:eastAsia="Calibri" w:hAnsi="Calibri" w:cs="Times New Roman"/>
        </w:rPr>
        <w:t>,</w:t>
      </w:r>
      <w:r w:rsidR="00F60D64">
        <w:rPr>
          <w:rFonts w:ascii="Calibri" w:eastAsia="Calibri" w:hAnsi="Calibri" w:cs="Times New Roman"/>
        </w:rPr>
        <w:t xml:space="preserve"> </w:t>
      </w:r>
      <w:r>
        <w:rPr>
          <w:rFonts w:ascii="Calibri" w:eastAsia="Calibri" w:hAnsi="Calibri" w:cs="Times New Roman"/>
        </w:rPr>
        <w:t xml:space="preserve">the total number of </w:t>
      </w:r>
      <w:r w:rsidR="006839EF" w:rsidRPr="00AD3746">
        <w:rPr>
          <w:rFonts w:ascii="Calibri" w:eastAsia="Calibri" w:hAnsi="Calibri" w:cs="Times New Roman"/>
        </w:rPr>
        <w:t xml:space="preserve">potential defect cases </w:t>
      </w:r>
      <w:r>
        <w:rPr>
          <w:rFonts w:ascii="Calibri" w:eastAsia="Calibri" w:hAnsi="Calibri" w:cs="Times New Roman"/>
        </w:rPr>
        <w:t>that require record review</w:t>
      </w:r>
      <w:r w:rsidR="00D70026">
        <w:rPr>
          <w:rFonts w:ascii="Calibri" w:eastAsia="Calibri" w:hAnsi="Calibri" w:cs="Times New Roman"/>
        </w:rPr>
        <w:t>,</w:t>
      </w:r>
      <w:r w:rsidR="00F60D64">
        <w:rPr>
          <w:rFonts w:ascii="Calibri" w:eastAsia="Calibri" w:hAnsi="Calibri" w:cs="Times New Roman"/>
        </w:rPr>
        <w:t xml:space="preserve"> etc.</w:t>
      </w:r>
      <w:r w:rsidR="00D70026">
        <w:rPr>
          <w:rFonts w:ascii="Calibri" w:eastAsia="Calibri" w:hAnsi="Calibri" w:cs="Times New Roman"/>
        </w:rPr>
        <w:t>, across the time periods</w:t>
      </w:r>
      <w:r>
        <w:rPr>
          <w:rFonts w:ascii="Calibri" w:eastAsia="Calibri" w:hAnsi="Calibri" w:cs="Times New Roman"/>
        </w:rPr>
        <w:t xml:space="preserve"> </w:t>
      </w:r>
    </w:p>
    <w:p w14:paraId="6C763D3D" w14:textId="475E1D9C" w:rsidR="00F60D64" w:rsidRDefault="00F60D64" w:rsidP="001B5480">
      <w:pPr>
        <w:numPr>
          <w:ilvl w:val="2"/>
          <w:numId w:val="1"/>
        </w:numPr>
        <w:spacing w:after="0" w:line="240" w:lineRule="auto"/>
        <w:contextualSpacing/>
        <w:rPr>
          <w:rFonts w:ascii="Calibri" w:eastAsia="Calibri" w:hAnsi="Calibri" w:cs="Times New Roman"/>
        </w:rPr>
      </w:pPr>
      <w:r>
        <w:rPr>
          <w:rFonts w:ascii="Calibri" w:eastAsia="Calibri" w:hAnsi="Calibri" w:cs="Times New Roman"/>
        </w:rPr>
        <w:t xml:space="preserve">This can provide an indication of whether the </w:t>
      </w:r>
      <w:r w:rsidR="003E3679">
        <w:rPr>
          <w:rFonts w:ascii="Calibri" w:eastAsia="Calibri" w:hAnsi="Calibri" w:cs="Times New Roman"/>
        </w:rPr>
        <w:t xml:space="preserve">ICD-10-CM </w:t>
      </w:r>
      <w:r>
        <w:rPr>
          <w:rFonts w:ascii="Calibri" w:eastAsia="Calibri" w:hAnsi="Calibri" w:cs="Times New Roman"/>
        </w:rPr>
        <w:t xml:space="preserve">data contain the same cases </w:t>
      </w:r>
      <w:r w:rsidR="008973B3">
        <w:rPr>
          <w:rFonts w:ascii="Calibri" w:eastAsia="Calibri" w:hAnsi="Calibri" w:cs="Times New Roman"/>
        </w:rPr>
        <w:t xml:space="preserve">and conditions that </w:t>
      </w:r>
      <w:r w:rsidR="003E3679">
        <w:rPr>
          <w:rFonts w:ascii="Calibri" w:eastAsia="Calibri" w:hAnsi="Calibri" w:cs="Times New Roman"/>
        </w:rPr>
        <w:t xml:space="preserve">are </w:t>
      </w:r>
      <w:r w:rsidR="008973B3">
        <w:rPr>
          <w:rFonts w:ascii="Calibri" w:eastAsia="Calibri" w:hAnsi="Calibri" w:cs="Times New Roman"/>
        </w:rPr>
        <w:t xml:space="preserve">present </w:t>
      </w:r>
      <w:r w:rsidR="003E3679">
        <w:rPr>
          <w:rFonts w:ascii="Calibri" w:eastAsia="Calibri" w:hAnsi="Calibri" w:cs="Times New Roman"/>
        </w:rPr>
        <w:t xml:space="preserve">in the ICD-9-CM data collected </w:t>
      </w:r>
      <w:r w:rsidR="008973B3">
        <w:rPr>
          <w:rFonts w:ascii="Calibri" w:eastAsia="Calibri" w:hAnsi="Calibri" w:cs="Times New Roman"/>
        </w:rPr>
        <w:t>before the transition to ICD-10-CM</w:t>
      </w:r>
    </w:p>
    <w:p w14:paraId="7F9B71B0" w14:textId="77777777" w:rsidR="000766D8" w:rsidRPr="00E94544" w:rsidRDefault="000766D8" w:rsidP="001B5480">
      <w:pPr>
        <w:numPr>
          <w:ilvl w:val="2"/>
          <w:numId w:val="1"/>
        </w:numPr>
        <w:spacing w:after="0" w:line="240" w:lineRule="auto"/>
        <w:contextualSpacing/>
        <w:rPr>
          <w:rFonts w:ascii="Calibri" w:eastAsia="Calibri" w:hAnsi="Calibri" w:cs="Times New Roman"/>
        </w:rPr>
      </w:pPr>
      <w:r w:rsidRPr="00E94544">
        <w:rPr>
          <w:rFonts w:ascii="Calibri" w:eastAsia="Calibri" w:hAnsi="Calibri" w:cs="Times New Roman"/>
        </w:rPr>
        <w:lastRenderedPageBreak/>
        <w:t xml:space="preserve">If </w:t>
      </w:r>
      <w:r>
        <w:rPr>
          <w:rFonts w:ascii="Calibri" w:eastAsia="Calibri" w:hAnsi="Calibri" w:cs="Times New Roman"/>
        </w:rPr>
        <w:t xml:space="preserve">a difference in </w:t>
      </w:r>
      <w:r w:rsidRPr="00E94544">
        <w:rPr>
          <w:rFonts w:ascii="Calibri" w:eastAsia="Calibri" w:hAnsi="Calibri" w:cs="Times New Roman"/>
        </w:rPr>
        <w:t>the total</w:t>
      </w:r>
      <w:r>
        <w:rPr>
          <w:rFonts w:ascii="Calibri" w:eastAsia="Calibri" w:hAnsi="Calibri" w:cs="Times New Roman"/>
        </w:rPr>
        <w:t xml:space="preserve">s is noted, </w:t>
      </w:r>
      <w:r w:rsidRPr="00E94544">
        <w:rPr>
          <w:rFonts w:ascii="Calibri" w:eastAsia="Calibri" w:hAnsi="Calibri" w:cs="Times New Roman"/>
        </w:rPr>
        <w:t xml:space="preserve">consider comparing the </w:t>
      </w:r>
      <w:r>
        <w:rPr>
          <w:rFonts w:ascii="Calibri" w:eastAsia="Calibri" w:hAnsi="Calibri" w:cs="Times New Roman"/>
        </w:rPr>
        <w:t xml:space="preserve">totals for individual </w:t>
      </w:r>
      <w:r w:rsidRPr="00E94544">
        <w:rPr>
          <w:rFonts w:ascii="Calibri" w:eastAsia="Calibri" w:hAnsi="Calibri" w:cs="Times New Roman"/>
        </w:rPr>
        <w:t>defect</w:t>
      </w:r>
      <w:r>
        <w:rPr>
          <w:rFonts w:ascii="Calibri" w:eastAsia="Calibri" w:hAnsi="Calibri" w:cs="Times New Roman"/>
        </w:rPr>
        <w:t>s, defect categories, or organ systems</w:t>
      </w:r>
      <w:r w:rsidRPr="00E94544">
        <w:rPr>
          <w:rFonts w:ascii="Calibri" w:eastAsia="Calibri" w:hAnsi="Calibri" w:cs="Times New Roman"/>
        </w:rPr>
        <w:t xml:space="preserve"> to </w:t>
      </w:r>
      <w:r>
        <w:rPr>
          <w:rFonts w:ascii="Calibri" w:eastAsia="Calibri" w:hAnsi="Calibri" w:cs="Times New Roman"/>
        </w:rPr>
        <w:t xml:space="preserve">assess whether </w:t>
      </w:r>
      <w:r w:rsidRPr="00E94544">
        <w:rPr>
          <w:rFonts w:ascii="Calibri" w:eastAsia="Calibri" w:hAnsi="Calibri" w:cs="Times New Roman"/>
        </w:rPr>
        <w:t xml:space="preserve">the changes </w:t>
      </w:r>
      <w:r>
        <w:rPr>
          <w:rFonts w:ascii="Calibri" w:eastAsia="Calibri" w:hAnsi="Calibri" w:cs="Times New Roman"/>
        </w:rPr>
        <w:t>a</w:t>
      </w:r>
      <w:r w:rsidRPr="00E94544">
        <w:rPr>
          <w:rFonts w:ascii="Calibri" w:eastAsia="Calibri" w:hAnsi="Calibri" w:cs="Times New Roman"/>
        </w:rPr>
        <w:t>re limited to certain birth defects</w:t>
      </w:r>
    </w:p>
    <w:p w14:paraId="3C6B68AC" w14:textId="720503C1" w:rsidR="000766D8" w:rsidRPr="000766D8" w:rsidRDefault="000766D8" w:rsidP="001B5480">
      <w:pPr>
        <w:numPr>
          <w:ilvl w:val="2"/>
          <w:numId w:val="1"/>
        </w:numPr>
        <w:spacing w:after="0" w:line="240" w:lineRule="auto"/>
        <w:contextualSpacing/>
        <w:rPr>
          <w:rFonts w:ascii="Calibri" w:eastAsia="Calibri" w:hAnsi="Calibri" w:cs="Times New Roman"/>
        </w:rPr>
      </w:pPr>
      <w:r w:rsidRPr="000766D8">
        <w:rPr>
          <w:rFonts w:ascii="Calibri" w:eastAsia="Calibri" w:hAnsi="Calibri" w:cs="Times New Roman"/>
        </w:rPr>
        <w:t>Comparing the total number of cases with specific codes that are selected for medical record review may help identify if only certain birth defects were affected</w:t>
      </w:r>
    </w:p>
    <w:p w14:paraId="49AF2E83" w14:textId="1919A187" w:rsidR="00E94544" w:rsidRDefault="00F60D64" w:rsidP="001B5480">
      <w:pPr>
        <w:numPr>
          <w:ilvl w:val="1"/>
          <w:numId w:val="1"/>
        </w:numPr>
        <w:spacing w:after="0" w:line="240" w:lineRule="auto"/>
        <w:contextualSpacing/>
        <w:rPr>
          <w:rFonts w:ascii="Calibri" w:eastAsia="Calibri" w:hAnsi="Calibri" w:cs="Times New Roman"/>
        </w:rPr>
      </w:pPr>
      <w:r>
        <w:rPr>
          <w:rFonts w:ascii="Calibri" w:eastAsia="Calibri" w:hAnsi="Calibri" w:cs="Times New Roman"/>
        </w:rPr>
        <w:t>Compar</w:t>
      </w:r>
      <w:r w:rsidR="00177C56">
        <w:rPr>
          <w:rFonts w:ascii="Calibri" w:eastAsia="Calibri" w:hAnsi="Calibri" w:cs="Times New Roman"/>
        </w:rPr>
        <w:t>e</w:t>
      </w:r>
      <w:r>
        <w:rPr>
          <w:rFonts w:ascii="Calibri" w:eastAsia="Calibri" w:hAnsi="Calibri" w:cs="Times New Roman"/>
        </w:rPr>
        <w:t xml:space="preserve"> </w:t>
      </w:r>
      <w:r w:rsidR="00AD3746">
        <w:rPr>
          <w:rFonts w:ascii="Calibri" w:eastAsia="Calibri" w:hAnsi="Calibri" w:cs="Times New Roman"/>
        </w:rPr>
        <w:t>the prevalence of all defects together</w:t>
      </w:r>
      <w:r>
        <w:rPr>
          <w:rFonts w:ascii="Calibri" w:eastAsia="Calibri" w:hAnsi="Calibri" w:cs="Times New Roman"/>
        </w:rPr>
        <w:t xml:space="preserve"> and the prevalence </w:t>
      </w:r>
      <w:r w:rsidR="00AD3746">
        <w:rPr>
          <w:rFonts w:ascii="Calibri" w:eastAsia="Calibri" w:hAnsi="Calibri" w:cs="Times New Roman"/>
        </w:rPr>
        <w:t xml:space="preserve">of individual </w:t>
      </w:r>
      <w:r w:rsidR="00AD3746" w:rsidRPr="00E94544">
        <w:rPr>
          <w:rFonts w:ascii="Calibri" w:eastAsia="Calibri" w:hAnsi="Calibri" w:cs="Times New Roman"/>
        </w:rPr>
        <w:t>defect</w:t>
      </w:r>
      <w:r w:rsidR="00AD3746">
        <w:rPr>
          <w:rFonts w:ascii="Calibri" w:eastAsia="Calibri" w:hAnsi="Calibri" w:cs="Times New Roman"/>
        </w:rPr>
        <w:t>s, defect categories, or organ systems</w:t>
      </w:r>
      <w:r w:rsidR="00D70026">
        <w:rPr>
          <w:rFonts w:ascii="Calibri" w:eastAsia="Calibri" w:hAnsi="Calibri" w:cs="Times New Roman"/>
        </w:rPr>
        <w:t xml:space="preserve"> across the time periods</w:t>
      </w:r>
    </w:p>
    <w:p w14:paraId="575D7974" w14:textId="0EE19F10" w:rsidR="00E41FCA" w:rsidRDefault="00E41FCA" w:rsidP="00E41FCA">
      <w:pPr>
        <w:numPr>
          <w:ilvl w:val="2"/>
          <w:numId w:val="1"/>
        </w:numPr>
        <w:spacing w:after="0" w:line="240" w:lineRule="auto"/>
        <w:contextualSpacing/>
        <w:rPr>
          <w:rFonts w:ascii="Calibri" w:eastAsia="Calibri" w:hAnsi="Calibri" w:cs="Times New Roman"/>
        </w:rPr>
      </w:pPr>
      <w:r>
        <w:rPr>
          <w:rFonts w:ascii="Calibri" w:eastAsia="Calibri" w:hAnsi="Calibri" w:cs="Times New Roman"/>
        </w:rPr>
        <w:t xml:space="preserve">This can provide an indication of whether the differences being seen are those that were anticipated based on the changes to the ICD-10-CM code </w:t>
      </w:r>
    </w:p>
    <w:p w14:paraId="60983F97" w14:textId="0758F10F" w:rsidR="00E94544" w:rsidRDefault="00E94544" w:rsidP="001B5480">
      <w:pPr>
        <w:numPr>
          <w:ilvl w:val="1"/>
          <w:numId w:val="1"/>
        </w:numPr>
        <w:spacing w:after="0" w:line="240" w:lineRule="auto"/>
        <w:contextualSpacing/>
        <w:rPr>
          <w:rFonts w:ascii="Calibri" w:eastAsia="Calibri" w:hAnsi="Calibri" w:cs="Times New Roman"/>
        </w:rPr>
      </w:pPr>
      <w:r w:rsidRPr="00E94544">
        <w:rPr>
          <w:rFonts w:ascii="Calibri" w:eastAsia="Calibri" w:hAnsi="Calibri" w:cs="Times New Roman"/>
        </w:rPr>
        <w:t>Compar</w:t>
      </w:r>
      <w:r w:rsidR="00177C56">
        <w:rPr>
          <w:rFonts w:ascii="Calibri" w:eastAsia="Calibri" w:hAnsi="Calibri" w:cs="Times New Roman"/>
        </w:rPr>
        <w:t>e</w:t>
      </w:r>
      <w:r w:rsidR="00F60D64">
        <w:rPr>
          <w:rFonts w:ascii="Calibri" w:eastAsia="Calibri" w:hAnsi="Calibri" w:cs="Times New Roman"/>
        </w:rPr>
        <w:t xml:space="preserve"> the data </w:t>
      </w:r>
      <w:r w:rsidR="00A419D5">
        <w:rPr>
          <w:rFonts w:ascii="Calibri" w:eastAsia="Calibri" w:hAnsi="Calibri" w:cs="Times New Roman"/>
        </w:rPr>
        <w:t>from individual ascertainment sources</w:t>
      </w:r>
      <w:r w:rsidR="00D70026">
        <w:rPr>
          <w:rFonts w:ascii="Calibri" w:eastAsia="Calibri" w:hAnsi="Calibri" w:cs="Times New Roman"/>
        </w:rPr>
        <w:t xml:space="preserve"> across the time periods</w:t>
      </w:r>
    </w:p>
    <w:p w14:paraId="2C33C9C2" w14:textId="20D27F45" w:rsidR="00A419D5" w:rsidRDefault="00A419D5" w:rsidP="001B5480">
      <w:pPr>
        <w:numPr>
          <w:ilvl w:val="2"/>
          <w:numId w:val="1"/>
        </w:numPr>
        <w:spacing w:after="0" w:line="240" w:lineRule="auto"/>
        <w:contextualSpacing/>
        <w:rPr>
          <w:rFonts w:ascii="Calibri" w:eastAsia="Calibri" w:hAnsi="Calibri" w:cs="Times New Roman"/>
        </w:rPr>
      </w:pPr>
      <w:r>
        <w:rPr>
          <w:rFonts w:ascii="Calibri" w:eastAsia="Calibri" w:hAnsi="Calibri" w:cs="Times New Roman"/>
        </w:rPr>
        <w:t xml:space="preserve">Even if the total </w:t>
      </w:r>
      <w:r w:rsidR="00F60D64">
        <w:rPr>
          <w:rFonts w:ascii="Calibri" w:eastAsia="Calibri" w:hAnsi="Calibri" w:cs="Times New Roman"/>
        </w:rPr>
        <w:t xml:space="preserve">data </w:t>
      </w:r>
      <w:r>
        <w:rPr>
          <w:rFonts w:ascii="Calibri" w:eastAsia="Calibri" w:hAnsi="Calibri" w:cs="Times New Roman"/>
        </w:rPr>
        <w:t>from all sources is similar before and after the transition, there may be variation</w:t>
      </w:r>
      <w:r w:rsidR="008973B3">
        <w:rPr>
          <w:rFonts w:ascii="Calibri" w:eastAsia="Calibri" w:hAnsi="Calibri" w:cs="Times New Roman"/>
        </w:rPr>
        <w:t>s</w:t>
      </w:r>
      <w:r>
        <w:rPr>
          <w:rFonts w:ascii="Calibri" w:eastAsia="Calibri" w:hAnsi="Calibri" w:cs="Times New Roman"/>
        </w:rPr>
        <w:t xml:space="preserve"> for individual data sources that require attention</w:t>
      </w:r>
    </w:p>
    <w:p w14:paraId="4669425F" w14:textId="0D08922A" w:rsidR="00177C56" w:rsidRDefault="00177C56" w:rsidP="001B5480">
      <w:pPr>
        <w:numPr>
          <w:ilvl w:val="2"/>
          <w:numId w:val="1"/>
        </w:numPr>
        <w:spacing w:after="0" w:line="240" w:lineRule="auto"/>
        <w:contextualSpacing/>
        <w:rPr>
          <w:rFonts w:ascii="Calibri" w:eastAsia="Calibri" w:hAnsi="Calibri" w:cs="Times New Roman"/>
        </w:rPr>
      </w:pPr>
      <w:r>
        <w:rPr>
          <w:rFonts w:ascii="Calibri" w:eastAsia="Calibri" w:hAnsi="Calibri" w:cs="Times New Roman"/>
        </w:rPr>
        <w:t xml:space="preserve">This can </w:t>
      </w:r>
      <w:r w:rsidR="00E41FCA">
        <w:rPr>
          <w:rFonts w:ascii="Calibri" w:eastAsia="Calibri" w:hAnsi="Calibri" w:cs="Times New Roman"/>
        </w:rPr>
        <w:t>provide</w:t>
      </w:r>
      <w:r>
        <w:rPr>
          <w:rFonts w:ascii="Calibri" w:eastAsia="Calibri" w:hAnsi="Calibri" w:cs="Times New Roman"/>
        </w:rPr>
        <w:t xml:space="preserve"> an indication</w:t>
      </w:r>
      <w:r w:rsidR="005645E6">
        <w:rPr>
          <w:rFonts w:ascii="Calibri" w:eastAsia="Calibri" w:hAnsi="Calibri" w:cs="Times New Roman"/>
        </w:rPr>
        <w:t xml:space="preserve"> of</w:t>
      </w:r>
      <w:r>
        <w:rPr>
          <w:rFonts w:ascii="Calibri" w:eastAsia="Calibri" w:hAnsi="Calibri" w:cs="Times New Roman"/>
        </w:rPr>
        <w:t xml:space="preserve"> issues and inconsistencies in coding practices or other methods at different ascertainment sources</w:t>
      </w:r>
    </w:p>
    <w:p w14:paraId="439430CD" w14:textId="16E7F303" w:rsidR="00AD6804" w:rsidRPr="00AD6804" w:rsidRDefault="00AD6804" w:rsidP="001B5480">
      <w:pPr>
        <w:numPr>
          <w:ilvl w:val="2"/>
          <w:numId w:val="1"/>
        </w:numPr>
        <w:spacing w:after="0" w:line="240" w:lineRule="auto"/>
        <w:contextualSpacing/>
        <w:rPr>
          <w:rFonts w:ascii="Calibri" w:eastAsia="Calibri" w:hAnsi="Calibri" w:cs="Times New Roman"/>
        </w:rPr>
      </w:pPr>
      <w:r w:rsidRPr="00AD6804">
        <w:rPr>
          <w:rFonts w:ascii="Calibri" w:eastAsia="Calibri" w:hAnsi="Calibri" w:cs="Times New Roman"/>
        </w:rPr>
        <w:t>Different approaches may be required depending on the type of data being assessed (</w:t>
      </w:r>
      <w:r w:rsidR="00E12CD7">
        <w:rPr>
          <w:rFonts w:ascii="Calibri" w:eastAsia="Calibri" w:hAnsi="Calibri" w:cs="Times New Roman"/>
        </w:rPr>
        <w:t xml:space="preserve">e.g., </w:t>
      </w:r>
      <w:r w:rsidRPr="00AD6804">
        <w:rPr>
          <w:rFonts w:ascii="Calibri" w:eastAsia="Calibri" w:hAnsi="Calibri" w:cs="Times New Roman"/>
        </w:rPr>
        <w:t>hospital discharge data, administrative datasets, vital records)</w:t>
      </w:r>
    </w:p>
    <w:p w14:paraId="6665343E" w14:textId="77777777" w:rsidR="00BD6FDA" w:rsidRDefault="00BD6FDA" w:rsidP="00BD6FDA">
      <w:pPr>
        <w:numPr>
          <w:ilvl w:val="1"/>
          <w:numId w:val="1"/>
        </w:numPr>
        <w:spacing w:after="0" w:line="240" w:lineRule="auto"/>
        <w:contextualSpacing/>
        <w:rPr>
          <w:rFonts w:ascii="Calibri" w:eastAsia="Calibri" w:hAnsi="Calibri" w:cs="Times New Roman"/>
        </w:rPr>
      </w:pPr>
      <w:r>
        <w:rPr>
          <w:rFonts w:ascii="Calibri" w:eastAsia="Calibri" w:hAnsi="Calibri" w:cs="Times New Roman"/>
        </w:rPr>
        <w:t xml:space="preserve">It is important to have </w:t>
      </w:r>
      <w:proofErr w:type="gramStart"/>
      <w:r>
        <w:rPr>
          <w:rFonts w:ascii="Calibri" w:eastAsia="Calibri" w:hAnsi="Calibri" w:cs="Times New Roman"/>
        </w:rPr>
        <w:t>sufficient</w:t>
      </w:r>
      <w:proofErr w:type="gramEnd"/>
      <w:r>
        <w:rPr>
          <w:rFonts w:ascii="Calibri" w:eastAsia="Calibri" w:hAnsi="Calibri" w:cs="Times New Roman"/>
        </w:rPr>
        <w:t xml:space="preserve"> </w:t>
      </w:r>
      <w:r w:rsidRPr="00E94544">
        <w:rPr>
          <w:rFonts w:ascii="Calibri" w:eastAsia="Calibri" w:hAnsi="Calibri" w:cs="Times New Roman"/>
        </w:rPr>
        <w:t xml:space="preserve">sample size and power to detect a change in </w:t>
      </w:r>
      <w:r>
        <w:rPr>
          <w:rFonts w:ascii="Calibri" w:eastAsia="Calibri" w:hAnsi="Calibri" w:cs="Times New Roman"/>
        </w:rPr>
        <w:t xml:space="preserve">the number of cases or in defect </w:t>
      </w:r>
      <w:r w:rsidRPr="00E94544">
        <w:rPr>
          <w:rFonts w:ascii="Calibri" w:eastAsia="Calibri" w:hAnsi="Calibri" w:cs="Times New Roman"/>
        </w:rPr>
        <w:t xml:space="preserve">prevalence following </w:t>
      </w:r>
      <w:r>
        <w:rPr>
          <w:rFonts w:ascii="Calibri" w:eastAsia="Calibri" w:hAnsi="Calibri" w:cs="Times New Roman"/>
        </w:rPr>
        <w:t xml:space="preserve">the transition to </w:t>
      </w:r>
      <w:r w:rsidRPr="00E94544">
        <w:rPr>
          <w:rFonts w:ascii="Calibri" w:eastAsia="Calibri" w:hAnsi="Calibri" w:cs="Times New Roman"/>
        </w:rPr>
        <w:t xml:space="preserve">ICD-10-CM and </w:t>
      </w:r>
      <w:r>
        <w:rPr>
          <w:rFonts w:ascii="Calibri" w:eastAsia="Calibri" w:hAnsi="Calibri" w:cs="Times New Roman"/>
        </w:rPr>
        <w:t xml:space="preserve">to know </w:t>
      </w:r>
      <w:r w:rsidRPr="00E94544">
        <w:rPr>
          <w:rFonts w:ascii="Calibri" w:eastAsia="Calibri" w:hAnsi="Calibri" w:cs="Times New Roman"/>
        </w:rPr>
        <w:t xml:space="preserve">how large </w:t>
      </w:r>
      <w:r>
        <w:rPr>
          <w:rFonts w:ascii="Calibri" w:eastAsia="Calibri" w:hAnsi="Calibri" w:cs="Times New Roman"/>
        </w:rPr>
        <w:t xml:space="preserve">of </w:t>
      </w:r>
      <w:r w:rsidRPr="00E94544">
        <w:rPr>
          <w:rFonts w:ascii="Calibri" w:eastAsia="Calibri" w:hAnsi="Calibri" w:cs="Times New Roman"/>
        </w:rPr>
        <w:t xml:space="preserve">a change can be detected </w:t>
      </w:r>
    </w:p>
    <w:p w14:paraId="1AEB8FA5" w14:textId="1CDC0D75" w:rsidR="00AD6804" w:rsidRPr="00E94544" w:rsidRDefault="00AD6804" w:rsidP="00BD6FDA">
      <w:pPr>
        <w:numPr>
          <w:ilvl w:val="2"/>
          <w:numId w:val="1"/>
        </w:numPr>
        <w:spacing w:after="0" w:line="240" w:lineRule="auto"/>
        <w:contextualSpacing/>
        <w:rPr>
          <w:rFonts w:ascii="Calibri" w:eastAsia="Calibri" w:hAnsi="Calibri" w:cs="Times New Roman"/>
        </w:rPr>
      </w:pPr>
      <w:r>
        <w:rPr>
          <w:rFonts w:ascii="Calibri" w:eastAsia="Calibri" w:hAnsi="Calibri" w:cs="Times New Roman"/>
        </w:rPr>
        <w:t xml:space="preserve">The length of the time period </w:t>
      </w:r>
      <w:r w:rsidR="00DB3903">
        <w:rPr>
          <w:rFonts w:ascii="Calibri" w:eastAsia="Calibri" w:hAnsi="Calibri" w:cs="Times New Roman"/>
        </w:rPr>
        <w:t xml:space="preserve">chosen for comparison before and after the transition should </w:t>
      </w:r>
      <w:r>
        <w:rPr>
          <w:rFonts w:ascii="Calibri" w:eastAsia="Calibri" w:hAnsi="Calibri" w:cs="Times New Roman"/>
        </w:rPr>
        <w:t xml:space="preserve">include </w:t>
      </w:r>
      <w:proofErr w:type="gramStart"/>
      <w:r>
        <w:rPr>
          <w:rFonts w:ascii="Calibri" w:eastAsia="Calibri" w:hAnsi="Calibri" w:cs="Times New Roman"/>
        </w:rPr>
        <w:t>sufficient</w:t>
      </w:r>
      <w:proofErr w:type="gramEnd"/>
      <w:r w:rsidR="00E75794">
        <w:rPr>
          <w:rFonts w:ascii="Calibri" w:eastAsia="Calibri" w:hAnsi="Calibri" w:cs="Times New Roman"/>
        </w:rPr>
        <w:t xml:space="preserve"> data such that </w:t>
      </w:r>
      <w:r>
        <w:rPr>
          <w:rFonts w:ascii="Calibri" w:eastAsia="Calibri" w:hAnsi="Calibri" w:cs="Times New Roman"/>
        </w:rPr>
        <w:t xml:space="preserve">random fluctuation in the numbers is not a major </w:t>
      </w:r>
      <w:r w:rsidR="00E75794">
        <w:rPr>
          <w:rFonts w:ascii="Calibri" w:eastAsia="Calibri" w:hAnsi="Calibri" w:cs="Times New Roman"/>
        </w:rPr>
        <w:t xml:space="preserve">contributor to </w:t>
      </w:r>
      <w:r w:rsidR="00EB3A48">
        <w:rPr>
          <w:rFonts w:ascii="Calibri" w:eastAsia="Calibri" w:hAnsi="Calibri" w:cs="Times New Roman"/>
        </w:rPr>
        <w:t xml:space="preserve">any </w:t>
      </w:r>
      <w:r w:rsidR="00E75794">
        <w:rPr>
          <w:rFonts w:ascii="Calibri" w:eastAsia="Calibri" w:hAnsi="Calibri" w:cs="Times New Roman"/>
        </w:rPr>
        <w:t>difference</w:t>
      </w:r>
      <w:r w:rsidR="00EB3A48">
        <w:rPr>
          <w:rFonts w:ascii="Calibri" w:eastAsia="Calibri" w:hAnsi="Calibri" w:cs="Times New Roman"/>
        </w:rPr>
        <w:t>s</w:t>
      </w:r>
      <w:r w:rsidR="00E75794">
        <w:rPr>
          <w:rFonts w:ascii="Calibri" w:eastAsia="Calibri" w:hAnsi="Calibri" w:cs="Times New Roman"/>
        </w:rPr>
        <w:t xml:space="preserve"> seen</w:t>
      </w:r>
    </w:p>
    <w:p w14:paraId="777AD635" w14:textId="0F038081" w:rsidR="00D344E2" w:rsidRDefault="00D344E2" w:rsidP="001B5480">
      <w:pPr>
        <w:numPr>
          <w:ilvl w:val="2"/>
          <w:numId w:val="1"/>
        </w:numPr>
        <w:spacing w:after="0" w:line="240" w:lineRule="auto"/>
        <w:contextualSpacing/>
        <w:rPr>
          <w:rFonts w:ascii="Calibri" w:eastAsia="Calibri" w:hAnsi="Calibri" w:cs="Times New Roman"/>
        </w:rPr>
      </w:pPr>
      <w:r w:rsidRPr="00CD1AB1">
        <w:rPr>
          <w:rFonts w:ascii="Calibri" w:eastAsia="Calibri" w:hAnsi="Calibri" w:cs="Times New Roman"/>
        </w:rPr>
        <w:t>The time period needed for comparison depend</w:t>
      </w:r>
      <w:r w:rsidR="00361148">
        <w:rPr>
          <w:rFonts w:ascii="Calibri" w:eastAsia="Calibri" w:hAnsi="Calibri" w:cs="Times New Roman"/>
        </w:rPr>
        <w:t>s</w:t>
      </w:r>
      <w:r w:rsidRPr="00CD1AB1">
        <w:rPr>
          <w:rFonts w:ascii="Calibri" w:eastAsia="Calibri" w:hAnsi="Calibri" w:cs="Times New Roman"/>
        </w:rPr>
        <w:t xml:space="preserve"> on the </w:t>
      </w:r>
      <w:r w:rsidR="000766D8">
        <w:rPr>
          <w:rFonts w:ascii="Calibri" w:eastAsia="Calibri" w:hAnsi="Calibri" w:cs="Times New Roman"/>
        </w:rPr>
        <w:t xml:space="preserve">size of the hospitals </w:t>
      </w:r>
      <w:r w:rsidR="00BC6519">
        <w:rPr>
          <w:rFonts w:ascii="Calibri" w:eastAsia="Calibri" w:hAnsi="Calibri" w:cs="Times New Roman"/>
        </w:rPr>
        <w:t xml:space="preserve">or </w:t>
      </w:r>
      <w:r w:rsidR="000766D8">
        <w:rPr>
          <w:rFonts w:ascii="Calibri" w:eastAsia="Calibri" w:hAnsi="Calibri" w:cs="Times New Roman"/>
        </w:rPr>
        <w:t xml:space="preserve">other ascertainment sources, the </w:t>
      </w:r>
      <w:r w:rsidRPr="00CD1AB1">
        <w:rPr>
          <w:rFonts w:ascii="Calibri" w:eastAsia="Calibri" w:hAnsi="Calibri" w:cs="Times New Roman"/>
        </w:rPr>
        <w:t>rarity of the defect</w:t>
      </w:r>
      <w:r w:rsidR="000766D8">
        <w:rPr>
          <w:rFonts w:ascii="Calibri" w:eastAsia="Calibri" w:hAnsi="Calibri" w:cs="Times New Roman"/>
        </w:rPr>
        <w:t>s</w:t>
      </w:r>
      <w:r w:rsidRPr="00CD1AB1">
        <w:rPr>
          <w:rFonts w:ascii="Calibri" w:eastAsia="Calibri" w:hAnsi="Calibri" w:cs="Times New Roman"/>
        </w:rPr>
        <w:t xml:space="preserve"> </w:t>
      </w:r>
      <w:r w:rsidR="000766D8">
        <w:rPr>
          <w:rFonts w:ascii="Calibri" w:eastAsia="Calibri" w:hAnsi="Calibri" w:cs="Times New Roman"/>
        </w:rPr>
        <w:t>being examined, etc.</w:t>
      </w:r>
      <w:r w:rsidRPr="00CD1AB1">
        <w:rPr>
          <w:rFonts w:ascii="Calibri" w:eastAsia="Calibri" w:hAnsi="Calibri" w:cs="Times New Roman"/>
        </w:rPr>
        <w:t xml:space="preserve"> </w:t>
      </w:r>
    </w:p>
    <w:p w14:paraId="21F998F5" w14:textId="14658485" w:rsidR="00BC6519" w:rsidRPr="00BC6519" w:rsidRDefault="00BC6519" w:rsidP="001B5480">
      <w:pPr>
        <w:numPr>
          <w:ilvl w:val="3"/>
          <w:numId w:val="1"/>
        </w:numPr>
        <w:spacing w:after="0" w:line="240" w:lineRule="auto"/>
        <w:contextualSpacing/>
        <w:rPr>
          <w:rFonts w:ascii="Calibri" w:eastAsia="Calibri" w:hAnsi="Calibri" w:cs="Times New Roman"/>
        </w:rPr>
      </w:pPr>
      <w:r w:rsidRPr="00BC6519">
        <w:rPr>
          <w:rFonts w:ascii="Calibri" w:eastAsia="Calibri" w:hAnsi="Calibri" w:cs="Times New Roman"/>
        </w:rPr>
        <w:t xml:space="preserve">Comparisons </w:t>
      </w:r>
      <w:r w:rsidR="00361148" w:rsidRPr="00BC6519">
        <w:rPr>
          <w:rFonts w:ascii="Calibri" w:eastAsia="Calibri" w:hAnsi="Calibri" w:cs="Times New Roman"/>
        </w:rPr>
        <w:t>c</w:t>
      </w:r>
      <w:r w:rsidR="00361148">
        <w:rPr>
          <w:rFonts w:ascii="Calibri" w:eastAsia="Calibri" w:hAnsi="Calibri" w:cs="Times New Roman"/>
        </w:rPr>
        <w:t xml:space="preserve">an </w:t>
      </w:r>
      <w:r w:rsidRPr="00BC6519">
        <w:rPr>
          <w:rFonts w:ascii="Calibri" w:eastAsia="Calibri" w:hAnsi="Calibri" w:cs="Times New Roman"/>
        </w:rPr>
        <w:t xml:space="preserve">be made on a monthly, quarterly, yearly or even longer basis </w:t>
      </w:r>
    </w:p>
    <w:p w14:paraId="0470D3D2" w14:textId="09DC20DC" w:rsidR="00D344E2" w:rsidRPr="00EB3A48" w:rsidRDefault="00BC6519" w:rsidP="001B5480">
      <w:pPr>
        <w:numPr>
          <w:ilvl w:val="3"/>
          <w:numId w:val="1"/>
        </w:numPr>
        <w:spacing w:after="0" w:line="240" w:lineRule="auto"/>
        <w:contextualSpacing/>
        <w:rPr>
          <w:rFonts w:ascii="Calibri" w:eastAsia="Calibri" w:hAnsi="Calibri" w:cs="Times New Roman"/>
        </w:rPr>
      </w:pPr>
      <w:r>
        <w:rPr>
          <w:rFonts w:ascii="Calibri" w:eastAsia="Calibri" w:hAnsi="Calibri" w:cs="Times New Roman"/>
        </w:rPr>
        <w:t>For very small ascertainment sources or very rare defects, data</w:t>
      </w:r>
      <w:r w:rsidR="00D344E2" w:rsidRPr="00EB3A48">
        <w:rPr>
          <w:rFonts w:ascii="Calibri" w:eastAsia="Calibri" w:hAnsi="Calibri" w:cs="Times New Roman"/>
        </w:rPr>
        <w:t xml:space="preserve"> from several years after the transition may be needed to evaluat</w:t>
      </w:r>
      <w:r w:rsidR="004A5D36">
        <w:rPr>
          <w:rFonts w:ascii="Calibri" w:eastAsia="Calibri" w:hAnsi="Calibri" w:cs="Times New Roman"/>
        </w:rPr>
        <w:t>e w</w:t>
      </w:r>
      <w:r w:rsidR="00D344E2" w:rsidRPr="00EB3A48">
        <w:rPr>
          <w:rFonts w:ascii="Calibri" w:eastAsia="Calibri" w:hAnsi="Calibri" w:cs="Times New Roman"/>
        </w:rPr>
        <w:t>hether a change has occurred</w:t>
      </w:r>
      <w:r>
        <w:rPr>
          <w:rFonts w:ascii="Calibri" w:eastAsia="Calibri" w:hAnsi="Calibri" w:cs="Times New Roman"/>
        </w:rPr>
        <w:t xml:space="preserve"> or to put that change in </w:t>
      </w:r>
      <w:r w:rsidR="00EB3A48" w:rsidRPr="00EB3A48">
        <w:rPr>
          <w:rFonts w:ascii="Calibri" w:eastAsia="Calibri" w:hAnsi="Calibri" w:cs="Times New Roman"/>
        </w:rPr>
        <w:t xml:space="preserve">context </w:t>
      </w:r>
    </w:p>
    <w:p w14:paraId="18814B42" w14:textId="77777777" w:rsidR="00D50D48" w:rsidRDefault="00FD5DA7" w:rsidP="006B3E04">
      <w:pPr>
        <w:numPr>
          <w:ilvl w:val="2"/>
          <w:numId w:val="1"/>
        </w:numPr>
        <w:spacing w:after="0" w:line="240" w:lineRule="auto"/>
        <w:contextualSpacing/>
        <w:rPr>
          <w:rFonts w:ascii="Calibri" w:eastAsia="Calibri" w:hAnsi="Calibri" w:cs="Times New Roman"/>
        </w:rPr>
      </w:pPr>
      <w:r w:rsidRPr="006B3E04">
        <w:rPr>
          <w:rFonts w:ascii="Calibri" w:eastAsia="Calibri" w:hAnsi="Calibri" w:cs="Times New Roman"/>
        </w:rPr>
        <w:t xml:space="preserve">Ideally, </w:t>
      </w:r>
      <w:r w:rsidR="00CD1AB1" w:rsidRPr="006B3E04">
        <w:rPr>
          <w:rFonts w:ascii="Calibri" w:eastAsia="Calibri" w:hAnsi="Calibri" w:cs="Times New Roman"/>
        </w:rPr>
        <w:t>a</w:t>
      </w:r>
      <w:r w:rsidRPr="006B3E04">
        <w:rPr>
          <w:rFonts w:ascii="Calibri" w:eastAsia="Calibri" w:hAnsi="Calibri" w:cs="Times New Roman"/>
        </w:rPr>
        <w:t xml:space="preserve">n equivalent time </w:t>
      </w:r>
      <w:r w:rsidR="00CD1AB1" w:rsidRPr="006B3E04">
        <w:rPr>
          <w:rFonts w:ascii="Calibri" w:eastAsia="Calibri" w:hAnsi="Calibri" w:cs="Times New Roman"/>
        </w:rPr>
        <w:t>period before and after the transition</w:t>
      </w:r>
      <w:r w:rsidRPr="006B3E04">
        <w:rPr>
          <w:rFonts w:ascii="Calibri" w:eastAsia="Calibri" w:hAnsi="Calibri" w:cs="Times New Roman"/>
        </w:rPr>
        <w:t xml:space="preserve"> should be chosen</w:t>
      </w:r>
      <w:r w:rsidR="006B3E04" w:rsidRPr="006B3E04">
        <w:rPr>
          <w:rFonts w:ascii="Calibri" w:eastAsia="Calibri" w:hAnsi="Calibri" w:cs="Times New Roman"/>
        </w:rPr>
        <w:t xml:space="preserve">. </w:t>
      </w:r>
    </w:p>
    <w:p w14:paraId="1C928057" w14:textId="226BB166" w:rsidR="000766D8" w:rsidRPr="006B3E04" w:rsidRDefault="006B3E04" w:rsidP="00D50D48">
      <w:pPr>
        <w:numPr>
          <w:ilvl w:val="3"/>
          <w:numId w:val="1"/>
        </w:numPr>
        <w:spacing w:after="0" w:line="240" w:lineRule="auto"/>
        <w:contextualSpacing/>
        <w:rPr>
          <w:rFonts w:ascii="Calibri" w:eastAsia="Calibri" w:hAnsi="Calibri" w:cs="Times New Roman"/>
        </w:rPr>
      </w:pPr>
      <w:r>
        <w:rPr>
          <w:rFonts w:ascii="Calibri" w:eastAsia="Calibri" w:hAnsi="Calibri" w:cs="Times New Roman"/>
        </w:rPr>
        <w:t xml:space="preserve">For example, </w:t>
      </w:r>
      <w:r w:rsidR="00FD5DA7" w:rsidRPr="006B3E04">
        <w:rPr>
          <w:rFonts w:ascii="Calibri" w:eastAsia="Calibri" w:hAnsi="Calibri" w:cs="Times New Roman"/>
        </w:rPr>
        <w:t xml:space="preserve">defect </w:t>
      </w:r>
      <w:r w:rsidR="00CD1AB1" w:rsidRPr="006B3E04">
        <w:rPr>
          <w:rFonts w:ascii="Calibri" w:eastAsia="Calibri" w:hAnsi="Calibri" w:cs="Times New Roman"/>
        </w:rPr>
        <w:t xml:space="preserve">prevalence </w:t>
      </w:r>
      <w:r w:rsidR="00FD5DA7" w:rsidRPr="006B3E04">
        <w:rPr>
          <w:rFonts w:ascii="Calibri" w:eastAsia="Calibri" w:hAnsi="Calibri" w:cs="Times New Roman"/>
        </w:rPr>
        <w:t xml:space="preserve">over </w:t>
      </w:r>
      <w:r w:rsidR="00CD1AB1" w:rsidRPr="006B3E04">
        <w:rPr>
          <w:rFonts w:ascii="Calibri" w:eastAsia="Calibri" w:hAnsi="Calibri" w:cs="Times New Roman"/>
        </w:rPr>
        <w:t xml:space="preserve">the first 3 </w:t>
      </w:r>
      <w:r w:rsidR="00E94544" w:rsidRPr="006B3E04">
        <w:rPr>
          <w:rFonts w:ascii="Calibri" w:eastAsia="Calibri" w:hAnsi="Calibri" w:cs="Times New Roman"/>
        </w:rPr>
        <w:t xml:space="preserve">quarters </w:t>
      </w:r>
      <w:r w:rsidR="00CD1AB1" w:rsidRPr="006B3E04">
        <w:rPr>
          <w:rFonts w:ascii="Calibri" w:eastAsia="Calibri" w:hAnsi="Calibri" w:cs="Times New Roman"/>
        </w:rPr>
        <w:t xml:space="preserve">of 2015 </w:t>
      </w:r>
      <w:r w:rsidR="009F4036">
        <w:rPr>
          <w:rFonts w:ascii="Calibri" w:eastAsia="Calibri" w:hAnsi="Calibri" w:cs="Times New Roman"/>
        </w:rPr>
        <w:t>c</w:t>
      </w:r>
      <w:r>
        <w:rPr>
          <w:rFonts w:ascii="Calibri" w:eastAsia="Calibri" w:hAnsi="Calibri" w:cs="Times New Roman"/>
        </w:rPr>
        <w:t xml:space="preserve">ould be compared </w:t>
      </w:r>
      <w:r w:rsidR="00CD1AB1" w:rsidRPr="006B3E04">
        <w:rPr>
          <w:rFonts w:ascii="Calibri" w:eastAsia="Calibri" w:hAnsi="Calibri" w:cs="Times New Roman"/>
        </w:rPr>
        <w:t xml:space="preserve">with that for the </w:t>
      </w:r>
      <w:r w:rsidR="00E94544" w:rsidRPr="006B3E04">
        <w:rPr>
          <w:rFonts w:ascii="Calibri" w:eastAsia="Calibri" w:hAnsi="Calibri" w:cs="Times New Roman"/>
        </w:rPr>
        <w:t>4</w:t>
      </w:r>
      <w:r w:rsidR="00CD1AB1" w:rsidRPr="006B3E04">
        <w:rPr>
          <w:rFonts w:ascii="Calibri" w:eastAsia="Calibri" w:hAnsi="Calibri" w:cs="Times New Roman"/>
          <w:vertAlign w:val="superscript"/>
        </w:rPr>
        <w:t>th</w:t>
      </w:r>
      <w:r w:rsidR="00CD1AB1" w:rsidRPr="006B3E04">
        <w:rPr>
          <w:rFonts w:ascii="Calibri" w:eastAsia="Calibri" w:hAnsi="Calibri" w:cs="Times New Roman"/>
        </w:rPr>
        <w:t xml:space="preserve"> quarter of 2015 and the first two quarters of 2016</w:t>
      </w:r>
      <w:r w:rsidR="009F4036">
        <w:rPr>
          <w:rFonts w:ascii="Calibri" w:eastAsia="Calibri" w:hAnsi="Calibri" w:cs="Times New Roman"/>
        </w:rPr>
        <w:t xml:space="preserve">, or alternatively with that for the first three quarters of 2016 </w:t>
      </w:r>
      <w:r w:rsidR="004A5D36">
        <w:rPr>
          <w:rFonts w:ascii="Calibri" w:eastAsia="Calibri" w:hAnsi="Calibri" w:cs="Times New Roman"/>
        </w:rPr>
        <w:t xml:space="preserve">if there is potential variation in defect prevalence by season of the year </w:t>
      </w:r>
    </w:p>
    <w:p w14:paraId="56BD5B1B" w14:textId="77777777" w:rsidR="00CC47D9" w:rsidRPr="00EA780F" w:rsidRDefault="00CC47D9" w:rsidP="007B1869">
      <w:pPr>
        <w:spacing w:after="0" w:line="240" w:lineRule="auto"/>
        <w:contextualSpacing/>
        <w:rPr>
          <w:rFonts w:ascii="Calibri" w:eastAsia="Calibri" w:hAnsi="Calibri" w:cs="Times New Roman"/>
          <w:b/>
        </w:rPr>
      </w:pPr>
    </w:p>
    <w:p w14:paraId="148C7028" w14:textId="77777777" w:rsidR="008732E5" w:rsidRPr="00E94544" w:rsidRDefault="008732E5" w:rsidP="007B1869">
      <w:pPr>
        <w:spacing w:after="0" w:line="240" w:lineRule="auto"/>
        <w:ind w:left="2160"/>
        <w:contextualSpacing/>
        <w:rPr>
          <w:rFonts w:ascii="Calibri" w:eastAsia="Calibri" w:hAnsi="Calibri" w:cs="Times New Roman"/>
        </w:rPr>
      </w:pPr>
    </w:p>
    <w:p w14:paraId="78D0E6A9" w14:textId="30D09D9E" w:rsidR="00513121" w:rsidRPr="00094D20" w:rsidRDefault="00AF03C1" w:rsidP="007B1869">
      <w:pPr>
        <w:keepNext/>
        <w:keepLines/>
        <w:spacing w:after="0" w:line="240" w:lineRule="auto"/>
        <w:outlineLvl w:val="1"/>
        <w:rPr>
          <w:rFonts w:ascii="Calibri Light" w:eastAsia="Times New Roman" w:hAnsi="Calibri Light" w:cs="Times New Roman"/>
          <w:b/>
          <w:color w:val="2E74B5"/>
          <w:sz w:val="26"/>
          <w:szCs w:val="26"/>
        </w:rPr>
      </w:pPr>
      <w:bookmarkStart w:id="2" w:name="_Hlk19870807"/>
      <w:r w:rsidRPr="00094D20">
        <w:rPr>
          <w:rFonts w:ascii="Calibri Light" w:eastAsia="Times New Roman" w:hAnsi="Calibri Light" w:cs="Times New Roman"/>
          <w:b/>
          <w:color w:val="2E74B5"/>
          <w:sz w:val="26"/>
          <w:szCs w:val="26"/>
        </w:rPr>
        <w:t>I</w:t>
      </w:r>
      <w:r w:rsidR="00094A85">
        <w:rPr>
          <w:rFonts w:ascii="Calibri Light" w:eastAsia="Times New Roman" w:hAnsi="Calibri Light" w:cs="Times New Roman"/>
          <w:b/>
          <w:color w:val="2E74B5"/>
          <w:sz w:val="26"/>
          <w:szCs w:val="26"/>
        </w:rPr>
        <w:t>II</w:t>
      </w:r>
      <w:r w:rsidR="00D106D7" w:rsidRPr="00094D20">
        <w:rPr>
          <w:rFonts w:ascii="Calibri Light" w:eastAsia="Times New Roman" w:hAnsi="Calibri Light" w:cs="Times New Roman"/>
          <w:b/>
          <w:color w:val="2E74B5"/>
          <w:sz w:val="26"/>
          <w:szCs w:val="26"/>
        </w:rPr>
        <w:t xml:space="preserve">. </w:t>
      </w:r>
      <w:r w:rsidR="00094A85">
        <w:rPr>
          <w:rFonts w:ascii="Calibri Light" w:eastAsia="Times New Roman" w:hAnsi="Calibri Light" w:cs="Times New Roman"/>
          <w:b/>
          <w:color w:val="2E74B5"/>
          <w:sz w:val="26"/>
          <w:szCs w:val="26"/>
        </w:rPr>
        <w:t>Evaluating a</w:t>
      </w:r>
      <w:r w:rsidR="00D106D7" w:rsidRPr="00094D20">
        <w:rPr>
          <w:rFonts w:ascii="Calibri Light" w:eastAsia="Times New Roman" w:hAnsi="Calibri Light" w:cs="Times New Roman"/>
          <w:b/>
          <w:color w:val="2E74B5"/>
          <w:sz w:val="26"/>
          <w:szCs w:val="26"/>
        </w:rPr>
        <w:t xml:space="preserve">n </w:t>
      </w:r>
      <w:r w:rsidR="0005554E">
        <w:rPr>
          <w:rFonts w:ascii="Calibri Light" w:eastAsia="Times New Roman" w:hAnsi="Calibri Light" w:cs="Times New Roman"/>
          <w:b/>
          <w:color w:val="2E74B5"/>
          <w:sz w:val="26"/>
          <w:szCs w:val="26"/>
        </w:rPr>
        <w:t>I</w:t>
      </w:r>
      <w:r w:rsidR="00D106D7" w:rsidRPr="00094D20">
        <w:rPr>
          <w:rFonts w:ascii="Calibri Light" w:eastAsia="Times New Roman" w:hAnsi="Calibri Light" w:cs="Times New Roman"/>
          <w:b/>
          <w:color w:val="2E74B5"/>
          <w:sz w:val="26"/>
          <w:szCs w:val="26"/>
        </w:rPr>
        <w:t xml:space="preserve">ssue </w:t>
      </w:r>
      <w:r w:rsidR="0005554E">
        <w:rPr>
          <w:rFonts w:ascii="Calibri Light" w:eastAsia="Times New Roman" w:hAnsi="Calibri Light" w:cs="Times New Roman"/>
          <w:b/>
          <w:color w:val="2E74B5"/>
          <w:sz w:val="26"/>
          <w:szCs w:val="26"/>
        </w:rPr>
        <w:t>F</w:t>
      </w:r>
      <w:r w:rsidR="00094A85">
        <w:rPr>
          <w:rFonts w:ascii="Calibri Light" w:eastAsia="Times New Roman" w:hAnsi="Calibri Light" w:cs="Times New Roman"/>
          <w:b/>
          <w:color w:val="2E74B5"/>
          <w:sz w:val="26"/>
          <w:szCs w:val="26"/>
        </w:rPr>
        <w:t xml:space="preserve">urther </w:t>
      </w:r>
      <w:r w:rsidR="0005554E">
        <w:rPr>
          <w:rFonts w:ascii="Calibri Light" w:eastAsia="Times New Roman" w:hAnsi="Calibri Light" w:cs="Times New Roman"/>
          <w:b/>
          <w:color w:val="2E74B5"/>
          <w:sz w:val="26"/>
          <w:szCs w:val="26"/>
        </w:rPr>
        <w:t>O</w:t>
      </w:r>
      <w:r w:rsidR="00094A85">
        <w:rPr>
          <w:rFonts w:ascii="Calibri Light" w:eastAsia="Times New Roman" w:hAnsi="Calibri Light" w:cs="Times New Roman"/>
          <w:b/>
          <w:color w:val="2E74B5"/>
          <w:sz w:val="26"/>
          <w:szCs w:val="26"/>
        </w:rPr>
        <w:t xml:space="preserve">nce it is </w:t>
      </w:r>
      <w:r w:rsidR="0005554E">
        <w:rPr>
          <w:rFonts w:ascii="Calibri Light" w:eastAsia="Times New Roman" w:hAnsi="Calibri Light" w:cs="Times New Roman"/>
          <w:b/>
          <w:color w:val="2E74B5"/>
          <w:sz w:val="26"/>
          <w:szCs w:val="26"/>
        </w:rPr>
        <w:t>F</w:t>
      </w:r>
      <w:r w:rsidR="00D106D7" w:rsidRPr="00094D20">
        <w:rPr>
          <w:rFonts w:ascii="Calibri Light" w:eastAsia="Times New Roman" w:hAnsi="Calibri Light" w:cs="Times New Roman"/>
          <w:b/>
          <w:color w:val="2E74B5"/>
          <w:sz w:val="26"/>
          <w:szCs w:val="26"/>
        </w:rPr>
        <w:t>ound</w:t>
      </w:r>
      <w:r w:rsidR="00385E36" w:rsidRPr="00094D20">
        <w:rPr>
          <w:rFonts w:ascii="Calibri Light" w:eastAsia="Times New Roman" w:hAnsi="Calibri Light" w:cs="Times New Roman"/>
          <w:b/>
          <w:color w:val="2E74B5"/>
          <w:sz w:val="26"/>
          <w:szCs w:val="26"/>
        </w:rPr>
        <w:t xml:space="preserve"> </w:t>
      </w:r>
    </w:p>
    <w:bookmarkEnd w:id="2"/>
    <w:p w14:paraId="012DE918" w14:textId="77777777" w:rsidR="00513121" w:rsidRDefault="00513121" w:rsidP="007B1869">
      <w:pPr>
        <w:spacing w:after="0" w:line="240" w:lineRule="auto"/>
      </w:pPr>
    </w:p>
    <w:p w14:paraId="2E1A917B" w14:textId="3EA7CC5F" w:rsidR="00A63BE5" w:rsidRDefault="003D094C" w:rsidP="007B1869">
      <w:pPr>
        <w:spacing w:after="0" w:line="240" w:lineRule="auto"/>
      </w:pPr>
      <w:r>
        <w:t>If a</w:t>
      </w:r>
      <w:r w:rsidR="008B2ABC">
        <w:t>n apparent</w:t>
      </w:r>
      <w:r>
        <w:t xml:space="preserve"> discrepancy i</w:t>
      </w:r>
      <w:r w:rsidR="008B2ABC">
        <w:t xml:space="preserve">s found between </w:t>
      </w:r>
      <w:r>
        <w:t>data reported using ICD-9</w:t>
      </w:r>
      <w:r w:rsidR="008D0974">
        <w:t>-CM</w:t>
      </w:r>
      <w:r>
        <w:t xml:space="preserve"> </w:t>
      </w:r>
      <w:r w:rsidR="008B2ABC">
        <w:t xml:space="preserve">and that using </w:t>
      </w:r>
      <w:r>
        <w:t>ICD-10</w:t>
      </w:r>
      <w:r w:rsidR="008D0974">
        <w:t>-CM</w:t>
      </w:r>
      <w:r>
        <w:t xml:space="preserve">, it is important to </w:t>
      </w:r>
      <w:r w:rsidR="007643A5">
        <w:t xml:space="preserve">assess </w:t>
      </w:r>
      <w:r>
        <w:t xml:space="preserve">whether the change is </w:t>
      </w:r>
      <w:r w:rsidR="007643A5">
        <w:t xml:space="preserve">expected based on the ICD-10-CM </w:t>
      </w:r>
      <w:r>
        <w:t>coding scheme, r</w:t>
      </w:r>
      <w:r w:rsidR="007643A5">
        <w:t>esults from inconsist</w:t>
      </w:r>
      <w:r w:rsidR="00E93B19">
        <w:t xml:space="preserve">ent or inaccurate </w:t>
      </w:r>
      <w:r w:rsidR="007643A5">
        <w:t xml:space="preserve">use of ICD-10-CM codes, or results from other </w:t>
      </w:r>
      <w:r>
        <w:t>factor</w:t>
      </w:r>
      <w:r w:rsidR="007643A5">
        <w:t>s either internal or external to the program</w:t>
      </w:r>
      <w:r>
        <w:t>. T</w:t>
      </w:r>
      <w:r w:rsidR="00C72459">
        <w:t xml:space="preserve">he following </w:t>
      </w:r>
      <w:r w:rsidR="00E93B19">
        <w:t xml:space="preserve">are </w:t>
      </w:r>
      <w:r w:rsidR="00634F48">
        <w:t xml:space="preserve">factors for </w:t>
      </w:r>
      <w:r w:rsidR="008D0974">
        <w:t>consideration</w:t>
      </w:r>
      <w:r w:rsidR="00E93B19">
        <w:t xml:space="preserve"> when a </w:t>
      </w:r>
      <w:r w:rsidR="008D0974">
        <w:t>difference</w:t>
      </w:r>
      <w:r w:rsidR="00E93B19">
        <w:t xml:space="preserve"> is</w:t>
      </w:r>
      <w:r w:rsidR="008D0974">
        <w:t xml:space="preserve"> observed: </w:t>
      </w:r>
    </w:p>
    <w:p w14:paraId="40D1B596" w14:textId="483023F1" w:rsidR="00E36783" w:rsidRDefault="00E36783" w:rsidP="007B1869">
      <w:pPr>
        <w:spacing w:after="0" w:line="240" w:lineRule="auto"/>
      </w:pPr>
    </w:p>
    <w:p w14:paraId="79DFB654" w14:textId="77777777" w:rsidR="00E36783" w:rsidRDefault="00E36783" w:rsidP="007B1869">
      <w:pPr>
        <w:spacing w:after="0" w:line="240" w:lineRule="auto"/>
      </w:pPr>
    </w:p>
    <w:p w14:paraId="3000769D" w14:textId="5BFEC660" w:rsidR="00A63BE5" w:rsidRDefault="00E53724" w:rsidP="001B5480">
      <w:pPr>
        <w:pStyle w:val="ListParagraph"/>
        <w:numPr>
          <w:ilvl w:val="0"/>
          <w:numId w:val="6"/>
        </w:numPr>
        <w:spacing w:after="0" w:line="240" w:lineRule="auto"/>
        <w:ind w:left="1080" w:hanging="720"/>
        <w:rPr>
          <w:b/>
        </w:rPr>
      </w:pPr>
      <w:r>
        <w:rPr>
          <w:b/>
        </w:rPr>
        <w:t>Changes in a</w:t>
      </w:r>
      <w:r w:rsidR="00A63BE5" w:rsidRPr="00A63BE5">
        <w:rPr>
          <w:b/>
        </w:rPr>
        <w:t>scertainment sources</w:t>
      </w:r>
      <w:r w:rsidR="007F5E0D" w:rsidRPr="00A63BE5">
        <w:rPr>
          <w:b/>
        </w:rPr>
        <w:t xml:space="preserve"> (hospitals, </w:t>
      </w:r>
      <w:r w:rsidR="00A63BE5" w:rsidRPr="00A63BE5">
        <w:rPr>
          <w:b/>
        </w:rPr>
        <w:t xml:space="preserve">prenatal offices, </w:t>
      </w:r>
      <w:r w:rsidR="007F5E0D" w:rsidRPr="00A63BE5">
        <w:rPr>
          <w:b/>
        </w:rPr>
        <w:t xml:space="preserve">specialty clinics, labs, </w:t>
      </w:r>
      <w:r w:rsidR="00A63BE5" w:rsidRPr="00A63BE5">
        <w:rPr>
          <w:b/>
        </w:rPr>
        <w:t>etc.</w:t>
      </w:r>
      <w:r w:rsidR="007F5E0D" w:rsidRPr="00A63BE5">
        <w:rPr>
          <w:b/>
        </w:rPr>
        <w:t>)</w:t>
      </w:r>
    </w:p>
    <w:p w14:paraId="72457E20" w14:textId="77777777" w:rsidR="00A63BE5" w:rsidRPr="00A63BE5" w:rsidRDefault="00A63BE5" w:rsidP="007B1869">
      <w:pPr>
        <w:spacing w:after="0" w:line="240" w:lineRule="auto"/>
        <w:contextualSpacing/>
        <w:rPr>
          <w:b/>
        </w:rPr>
      </w:pPr>
    </w:p>
    <w:p w14:paraId="0982F539" w14:textId="3AACF2D8" w:rsidR="00F42D89" w:rsidRPr="00A63BE5" w:rsidRDefault="00311AA5" w:rsidP="001B5480">
      <w:pPr>
        <w:pStyle w:val="ListParagraph"/>
        <w:numPr>
          <w:ilvl w:val="1"/>
          <w:numId w:val="6"/>
        </w:numPr>
        <w:spacing w:after="0" w:line="240" w:lineRule="auto"/>
        <w:rPr>
          <w:b/>
        </w:rPr>
      </w:pPr>
      <w:r>
        <w:t xml:space="preserve">Assess whether </w:t>
      </w:r>
      <w:r w:rsidR="00CD7668">
        <w:t xml:space="preserve">the change in </w:t>
      </w:r>
      <w:r w:rsidR="00E111D5">
        <w:t xml:space="preserve">the </w:t>
      </w:r>
      <w:r>
        <w:t xml:space="preserve">data </w:t>
      </w:r>
      <w:r w:rsidR="00CD7668">
        <w:t xml:space="preserve">is </w:t>
      </w:r>
      <w:r w:rsidR="00A63BE5">
        <w:t xml:space="preserve">confined </w:t>
      </w:r>
      <w:r w:rsidR="00CD7668">
        <w:t xml:space="preserve">to only certain </w:t>
      </w:r>
      <w:r w:rsidR="00A63BE5">
        <w:t>sources</w:t>
      </w:r>
      <w:r w:rsidR="00CD7668">
        <w:t xml:space="preserve"> or a</w:t>
      </w:r>
      <w:r w:rsidR="00A63BE5">
        <w:t>pparent in the data from all sources</w:t>
      </w:r>
    </w:p>
    <w:p w14:paraId="293A161B" w14:textId="628E5DDD" w:rsidR="001B1459" w:rsidRPr="001B1459" w:rsidRDefault="007B12ED" w:rsidP="001B5480">
      <w:pPr>
        <w:pStyle w:val="ListParagraph"/>
        <w:numPr>
          <w:ilvl w:val="1"/>
          <w:numId w:val="6"/>
        </w:numPr>
        <w:spacing w:after="0" w:line="240" w:lineRule="auto"/>
        <w:rPr>
          <w:b/>
        </w:rPr>
      </w:pPr>
      <w:r w:rsidRPr="00FA0736">
        <w:t>If the change is isolated to only certain facilities</w:t>
      </w:r>
      <w:r w:rsidR="001B1459">
        <w:t>:</w:t>
      </w:r>
      <w:r w:rsidRPr="00FA0736">
        <w:t xml:space="preserve"> </w:t>
      </w:r>
    </w:p>
    <w:p w14:paraId="000648ED" w14:textId="1B263FBE" w:rsidR="00F42D89" w:rsidRPr="00F42D89" w:rsidRDefault="001B1459" w:rsidP="001B1459">
      <w:pPr>
        <w:pStyle w:val="ListParagraph"/>
        <w:numPr>
          <w:ilvl w:val="2"/>
          <w:numId w:val="6"/>
        </w:numPr>
        <w:spacing w:after="0" w:line="240" w:lineRule="auto"/>
        <w:rPr>
          <w:b/>
        </w:rPr>
      </w:pPr>
      <w:r>
        <w:t>C</w:t>
      </w:r>
      <w:r w:rsidR="007B12ED" w:rsidRPr="00FA0736">
        <w:t xml:space="preserve">onsider </w:t>
      </w:r>
      <w:r w:rsidR="001E2163">
        <w:t>whether factors other than the ICD-10-CM transition occurr</w:t>
      </w:r>
      <w:r w:rsidR="00AF04C5">
        <w:t xml:space="preserve">ed </w:t>
      </w:r>
      <w:proofErr w:type="gramStart"/>
      <w:r w:rsidR="001E2163">
        <w:t>at the same time that</w:t>
      </w:r>
      <w:proofErr w:type="gramEnd"/>
      <w:r w:rsidR="001E2163">
        <w:t xml:space="preserve"> might </w:t>
      </w:r>
      <w:r w:rsidR="007B12ED" w:rsidRPr="00FA0736">
        <w:t>affect the</w:t>
      </w:r>
      <w:r w:rsidR="001E2163">
        <w:t xml:space="preserve"> data</w:t>
      </w:r>
      <w:r w:rsidR="00AF04C5">
        <w:t>, such as</w:t>
      </w:r>
      <w:r w:rsidR="007B12ED" w:rsidRPr="00FA0736">
        <w:t>:</w:t>
      </w:r>
    </w:p>
    <w:p w14:paraId="0C286EF0" w14:textId="5FE3E6A2" w:rsidR="00A224FE" w:rsidRPr="00A224FE" w:rsidRDefault="00AF04C5" w:rsidP="001B1459">
      <w:pPr>
        <w:pStyle w:val="ListParagraph"/>
        <w:numPr>
          <w:ilvl w:val="3"/>
          <w:numId w:val="6"/>
        </w:numPr>
        <w:spacing w:after="0" w:line="240" w:lineRule="auto"/>
        <w:rPr>
          <w:b/>
        </w:rPr>
      </w:pPr>
      <w:r>
        <w:t>A</w:t>
      </w:r>
      <w:r w:rsidR="008D0974">
        <w:t>cqui</w:t>
      </w:r>
      <w:r>
        <w:t xml:space="preserve">sition of </w:t>
      </w:r>
      <w:r w:rsidR="007B12ED" w:rsidRPr="00A224FE">
        <w:t xml:space="preserve">additional </w:t>
      </w:r>
      <w:r w:rsidR="008D0974" w:rsidRPr="00A224FE">
        <w:t>facilities or</w:t>
      </w:r>
      <w:r w:rsidR="007B12ED" w:rsidRPr="00A224FE">
        <w:t xml:space="preserve"> </w:t>
      </w:r>
      <w:r>
        <w:t xml:space="preserve">being acquired by </w:t>
      </w:r>
      <w:r w:rsidR="007B12ED" w:rsidRPr="00A224FE">
        <w:t xml:space="preserve">another reporting </w:t>
      </w:r>
      <w:r>
        <w:t>source</w:t>
      </w:r>
      <w:r w:rsidR="008D0974">
        <w:rPr>
          <w:i/>
        </w:rPr>
        <w:t xml:space="preserve"> </w:t>
      </w:r>
    </w:p>
    <w:p w14:paraId="2C26F789" w14:textId="2AE7EB81" w:rsidR="00A224FE" w:rsidRPr="00A224FE" w:rsidRDefault="00AF04C5" w:rsidP="001B1459">
      <w:pPr>
        <w:pStyle w:val="ListParagraph"/>
        <w:numPr>
          <w:ilvl w:val="3"/>
          <w:numId w:val="6"/>
        </w:numPr>
        <w:spacing w:after="0" w:line="240" w:lineRule="auto"/>
        <w:rPr>
          <w:b/>
        </w:rPr>
      </w:pPr>
      <w:r>
        <w:t>A</w:t>
      </w:r>
      <w:r w:rsidR="007B12ED" w:rsidRPr="00A224FE">
        <w:t>ddition</w:t>
      </w:r>
      <w:r>
        <w:t xml:space="preserve"> of data to the </w:t>
      </w:r>
      <w:r w:rsidR="007B12ED" w:rsidRPr="00A224FE">
        <w:t>reporting, such as outpatient/clinic information</w:t>
      </w:r>
      <w:r w:rsidR="008D0974">
        <w:t xml:space="preserve"> </w:t>
      </w:r>
    </w:p>
    <w:p w14:paraId="4551E9A5" w14:textId="77777777" w:rsidR="00525E86" w:rsidRDefault="00AF04C5" w:rsidP="001B1459">
      <w:pPr>
        <w:pStyle w:val="ListParagraph"/>
        <w:numPr>
          <w:ilvl w:val="3"/>
          <w:numId w:val="6"/>
        </w:numPr>
        <w:spacing w:after="0" w:line="240" w:lineRule="auto"/>
        <w:rPr>
          <w:rFonts w:cstheme="minorHAnsi"/>
        </w:rPr>
      </w:pPr>
      <w:r>
        <w:t xml:space="preserve">Change </w:t>
      </w:r>
      <w:r w:rsidR="00C72459">
        <w:t xml:space="preserve">in staff </w:t>
      </w:r>
      <w:r w:rsidR="007B12ED" w:rsidRPr="00A224FE">
        <w:t xml:space="preserve">responsible for </w:t>
      </w:r>
      <w:r>
        <w:t xml:space="preserve">generating </w:t>
      </w:r>
      <w:r w:rsidR="007B12ED" w:rsidRPr="00A224FE">
        <w:t>reports</w:t>
      </w:r>
      <w:r>
        <w:t xml:space="preserve"> for the program</w:t>
      </w:r>
      <w:r w:rsidR="00525E86" w:rsidRPr="00525E86">
        <w:rPr>
          <w:rFonts w:cstheme="minorHAnsi"/>
        </w:rPr>
        <w:t xml:space="preserve"> </w:t>
      </w:r>
    </w:p>
    <w:p w14:paraId="60D865CA" w14:textId="6D10C95E" w:rsidR="00A224FE" w:rsidRPr="001B1459" w:rsidRDefault="00525E86" w:rsidP="001B1459">
      <w:pPr>
        <w:pStyle w:val="ListParagraph"/>
        <w:numPr>
          <w:ilvl w:val="3"/>
          <w:numId w:val="6"/>
        </w:numPr>
        <w:spacing w:after="0" w:line="240" w:lineRule="auto"/>
        <w:rPr>
          <w:b/>
        </w:rPr>
      </w:pPr>
      <w:r w:rsidRPr="007B1869">
        <w:rPr>
          <w:rFonts w:cstheme="minorHAnsi"/>
        </w:rPr>
        <w:t>Change in the clinical care-giving capacity at a data source</w:t>
      </w:r>
      <w:r>
        <w:rPr>
          <w:rFonts w:cstheme="minorHAnsi"/>
        </w:rPr>
        <w:t xml:space="preserve"> such as e</w:t>
      </w:r>
      <w:r w:rsidRPr="007B1869">
        <w:rPr>
          <w:rFonts w:cstheme="minorHAnsi"/>
        </w:rPr>
        <w:t>xpan</w:t>
      </w:r>
      <w:r>
        <w:rPr>
          <w:rFonts w:cstheme="minorHAnsi"/>
        </w:rPr>
        <w:t xml:space="preserve">sion of </w:t>
      </w:r>
      <w:r w:rsidRPr="007B1869">
        <w:rPr>
          <w:rFonts w:cstheme="minorHAnsi"/>
        </w:rPr>
        <w:t>diagnostic services</w:t>
      </w:r>
    </w:p>
    <w:p w14:paraId="75A8AA5F" w14:textId="45FADFF9" w:rsidR="001B1459" w:rsidRDefault="001B1459" w:rsidP="001B1459">
      <w:pPr>
        <w:pStyle w:val="ListParagraph"/>
        <w:numPr>
          <w:ilvl w:val="2"/>
          <w:numId w:val="6"/>
        </w:numPr>
        <w:spacing w:after="0" w:line="240" w:lineRule="auto"/>
        <w:rPr>
          <w:rFonts w:cstheme="minorHAnsi"/>
        </w:rPr>
      </w:pPr>
      <w:r>
        <w:rPr>
          <w:rFonts w:cstheme="minorHAnsi"/>
        </w:rPr>
        <w:t xml:space="preserve">Assess </w:t>
      </w:r>
      <w:r w:rsidR="00A51C0D">
        <w:rPr>
          <w:rFonts w:cstheme="minorHAnsi"/>
        </w:rPr>
        <w:t xml:space="preserve">whether </w:t>
      </w:r>
      <w:r>
        <w:rPr>
          <w:rFonts w:cstheme="minorHAnsi"/>
        </w:rPr>
        <w:t xml:space="preserve">there </w:t>
      </w:r>
      <w:proofErr w:type="gramStart"/>
      <w:r>
        <w:rPr>
          <w:rFonts w:cstheme="minorHAnsi"/>
        </w:rPr>
        <w:t>are</w:t>
      </w:r>
      <w:proofErr w:type="gramEnd"/>
      <w:r>
        <w:rPr>
          <w:rFonts w:cstheme="minorHAnsi"/>
        </w:rPr>
        <w:t xml:space="preserve"> facility-specific ICD-10-CM transition related factors that could </w:t>
      </w:r>
      <w:r w:rsidR="00A51C0D">
        <w:rPr>
          <w:rFonts w:cstheme="minorHAnsi"/>
        </w:rPr>
        <w:t>contribute to the observed change in the data</w:t>
      </w:r>
    </w:p>
    <w:p w14:paraId="629CFB57" w14:textId="72428F6D" w:rsidR="001B1459" w:rsidRDefault="00A51C0D" w:rsidP="00053634">
      <w:pPr>
        <w:pStyle w:val="ListParagraph"/>
        <w:numPr>
          <w:ilvl w:val="3"/>
          <w:numId w:val="6"/>
        </w:numPr>
        <w:spacing w:after="0" w:line="240" w:lineRule="auto"/>
        <w:rPr>
          <w:rFonts w:cstheme="minorHAnsi"/>
        </w:rPr>
      </w:pPr>
      <w:r>
        <w:rPr>
          <w:rFonts w:cstheme="minorHAnsi"/>
        </w:rPr>
        <w:t xml:space="preserve">Incompleteness </w:t>
      </w:r>
      <w:r w:rsidR="001B1459">
        <w:rPr>
          <w:rFonts w:cstheme="minorHAnsi"/>
        </w:rPr>
        <w:t>of data submission</w:t>
      </w:r>
    </w:p>
    <w:p w14:paraId="3B632A1F" w14:textId="029B1B7F" w:rsidR="001B1459" w:rsidRDefault="00A51C0D" w:rsidP="001B1459">
      <w:pPr>
        <w:pStyle w:val="ListParagraph"/>
        <w:numPr>
          <w:ilvl w:val="3"/>
          <w:numId w:val="6"/>
        </w:numPr>
        <w:spacing w:after="0" w:line="240" w:lineRule="auto"/>
        <w:rPr>
          <w:rFonts w:cstheme="minorHAnsi"/>
        </w:rPr>
      </w:pPr>
      <w:r>
        <w:rPr>
          <w:rFonts w:cstheme="minorHAnsi"/>
        </w:rPr>
        <w:t>Certain ICD-10-CM codes s</w:t>
      </w:r>
      <w:r w:rsidR="001B1459">
        <w:rPr>
          <w:rFonts w:cstheme="minorHAnsi"/>
        </w:rPr>
        <w:t xml:space="preserve">ystematically missing </w:t>
      </w:r>
      <w:r>
        <w:rPr>
          <w:rFonts w:cstheme="minorHAnsi"/>
        </w:rPr>
        <w:t>from reports</w:t>
      </w:r>
    </w:p>
    <w:p w14:paraId="6653C838" w14:textId="6506C89D" w:rsidR="001B1459" w:rsidRDefault="001B1459" w:rsidP="00053634">
      <w:pPr>
        <w:pStyle w:val="ListParagraph"/>
        <w:numPr>
          <w:ilvl w:val="4"/>
          <w:numId w:val="6"/>
        </w:numPr>
        <w:spacing w:after="0" w:line="240" w:lineRule="auto"/>
        <w:rPr>
          <w:rFonts w:cstheme="minorHAnsi"/>
        </w:rPr>
      </w:pPr>
      <w:r>
        <w:rPr>
          <w:rFonts w:cstheme="minorHAnsi"/>
        </w:rPr>
        <w:t xml:space="preserve">Some facilities may not have </w:t>
      </w:r>
      <w:r w:rsidR="00A51C0D">
        <w:rPr>
          <w:rFonts w:cstheme="minorHAnsi"/>
        </w:rPr>
        <w:t xml:space="preserve">fully </w:t>
      </w:r>
      <w:r>
        <w:rPr>
          <w:rFonts w:cstheme="minorHAnsi"/>
        </w:rPr>
        <w:t>updated their birth defects reporting</w:t>
      </w:r>
    </w:p>
    <w:p w14:paraId="4E1D6A52" w14:textId="01539621" w:rsidR="00A51C0D" w:rsidRPr="002F08D0" w:rsidRDefault="001B1459" w:rsidP="00A51C0D">
      <w:pPr>
        <w:pStyle w:val="ListParagraph"/>
        <w:numPr>
          <w:ilvl w:val="3"/>
          <w:numId w:val="6"/>
        </w:numPr>
        <w:spacing w:after="0" w:line="240" w:lineRule="auto"/>
        <w:rPr>
          <w:b/>
        </w:rPr>
      </w:pPr>
      <w:r w:rsidRPr="00A51C0D">
        <w:rPr>
          <w:rFonts w:cstheme="minorHAnsi"/>
        </w:rPr>
        <w:t>Reports submitted with ICD-9</w:t>
      </w:r>
      <w:r w:rsidR="00A51C0D" w:rsidRPr="00A51C0D">
        <w:rPr>
          <w:rFonts w:cstheme="minorHAnsi"/>
        </w:rPr>
        <w:t>-CM</w:t>
      </w:r>
      <w:r w:rsidRPr="00A51C0D">
        <w:rPr>
          <w:rFonts w:cstheme="minorHAnsi"/>
        </w:rPr>
        <w:t xml:space="preserve"> codes for discharges after October 1, 201</w:t>
      </w:r>
      <w:r w:rsidR="00032BD7">
        <w:rPr>
          <w:rFonts w:cstheme="minorHAnsi"/>
        </w:rPr>
        <w:t>5</w:t>
      </w:r>
      <w:r w:rsidRPr="00A51C0D">
        <w:rPr>
          <w:rFonts w:cstheme="minorHAnsi"/>
        </w:rPr>
        <w:t xml:space="preserve"> </w:t>
      </w:r>
      <w:r w:rsidR="00A51C0D" w:rsidRPr="00A51C0D">
        <w:rPr>
          <w:rFonts w:cstheme="minorHAnsi"/>
        </w:rPr>
        <w:t xml:space="preserve">instead of </w:t>
      </w:r>
      <w:r w:rsidRPr="00A51C0D">
        <w:rPr>
          <w:rFonts w:cstheme="minorHAnsi"/>
        </w:rPr>
        <w:t>ICD-10</w:t>
      </w:r>
      <w:r w:rsidR="00A51C0D" w:rsidRPr="00A51C0D">
        <w:rPr>
          <w:rFonts w:cstheme="minorHAnsi"/>
        </w:rPr>
        <w:t>-CM</w:t>
      </w:r>
      <w:r w:rsidRPr="00A51C0D">
        <w:rPr>
          <w:rFonts w:cstheme="minorHAnsi"/>
        </w:rPr>
        <w:t xml:space="preserve"> codes</w:t>
      </w:r>
    </w:p>
    <w:p w14:paraId="642BFD1E" w14:textId="77777777" w:rsidR="00525E86" w:rsidRPr="00F42D89" w:rsidRDefault="00525E86" w:rsidP="00525E86">
      <w:pPr>
        <w:pStyle w:val="ListParagraph"/>
        <w:numPr>
          <w:ilvl w:val="1"/>
          <w:numId w:val="6"/>
        </w:numPr>
        <w:spacing w:after="0" w:line="240" w:lineRule="auto"/>
        <w:rPr>
          <w:b/>
        </w:rPr>
      </w:pPr>
      <w:r>
        <w:t>If the change is apparent in data from all sources, consider whether internal processes could affect facility reporting, such as:</w:t>
      </w:r>
    </w:p>
    <w:p w14:paraId="069A433D" w14:textId="77777777" w:rsidR="00525E86" w:rsidRPr="00392528" w:rsidRDefault="00525E86" w:rsidP="00525E86">
      <w:pPr>
        <w:pStyle w:val="ListParagraph"/>
        <w:numPr>
          <w:ilvl w:val="2"/>
          <w:numId w:val="6"/>
        </w:numPr>
        <w:spacing w:after="0" w:line="240" w:lineRule="auto"/>
        <w:ind w:left="2174" w:hanging="187"/>
        <w:rPr>
          <w:b/>
        </w:rPr>
      </w:pPr>
      <w:r>
        <w:t xml:space="preserve">Implementation (or lack thereof) of changes in the codes requested, the format of files provided, the frequency with which reports are generated, filters such as the range of birth dates requested, and other reporting specifications </w:t>
      </w:r>
    </w:p>
    <w:p w14:paraId="09BBB2D3" w14:textId="0256DEE8" w:rsidR="0091074F" w:rsidRPr="007B1869" w:rsidRDefault="0091074F" w:rsidP="001B5480">
      <w:pPr>
        <w:pStyle w:val="ListParagraph"/>
        <w:numPr>
          <w:ilvl w:val="1"/>
          <w:numId w:val="6"/>
        </w:numPr>
        <w:spacing w:after="0" w:line="240" w:lineRule="auto"/>
        <w:rPr>
          <w:b/>
        </w:rPr>
      </w:pPr>
      <w:r>
        <w:t>Note that changes such as these are not necessarily related to the ICD-10-CM transition and may affect the data at any time they occur</w:t>
      </w:r>
    </w:p>
    <w:p w14:paraId="597776C7" w14:textId="77777777" w:rsidR="00392528" w:rsidRPr="00392528" w:rsidRDefault="00392528" w:rsidP="007B1869">
      <w:pPr>
        <w:spacing w:after="0" w:line="240" w:lineRule="auto"/>
        <w:rPr>
          <w:b/>
        </w:rPr>
      </w:pPr>
    </w:p>
    <w:p w14:paraId="320C98FD" w14:textId="1599A9E0" w:rsidR="00F42D89" w:rsidRPr="00E53724" w:rsidRDefault="00E53724" w:rsidP="001B5480">
      <w:pPr>
        <w:pStyle w:val="ListParagraph"/>
        <w:numPr>
          <w:ilvl w:val="0"/>
          <w:numId w:val="6"/>
        </w:numPr>
        <w:spacing w:after="0" w:line="240" w:lineRule="auto"/>
        <w:ind w:left="1080" w:hanging="720"/>
        <w:rPr>
          <w:rFonts w:cstheme="minorHAnsi"/>
          <w:b/>
        </w:rPr>
      </w:pPr>
      <w:r>
        <w:rPr>
          <w:rFonts w:cstheme="minorHAnsi"/>
          <w:b/>
        </w:rPr>
        <w:t>Changes in the d</w:t>
      </w:r>
      <w:r w:rsidR="00506364" w:rsidRPr="00E53724">
        <w:rPr>
          <w:rFonts w:cstheme="minorHAnsi"/>
          <w:b/>
        </w:rPr>
        <w:t xml:space="preserve">ata </w:t>
      </w:r>
    </w:p>
    <w:p w14:paraId="55E766FD" w14:textId="77777777" w:rsidR="00336722" w:rsidRPr="00336722" w:rsidRDefault="00336722" w:rsidP="007B1869">
      <w:pPr>
        <w:spacing w:after="0" w:line="240" w:lineRule="auto"/>
        <w:rPr>
          <w:b/>
        </w:rPr>
      </w:pPr>
    </w:p>
    <w:p w14:paraId="0DFF9F1E" w14:textId="6D515F75" w:rsidR="009B72A3" w:rsidRPr="009B72A3" w:rsidRDefault="00E53724" w:rsidP="001B5480">
      <w:pPr>
        <w:pStyle w:val="ListParagraph"/>
        <w:numPr>
          <w:ilvl w:val="0"/>
          <w:numId w:val="7"/>
        </w:numPr>
        <w:spacing w:after="0" w:line="240" w:lineRule="auto"/>
        <w:ind w:left="1440"/>
        <w:rPr>
          <w:b/>
        </w:rPr>
      </w:pPr>
      <w:r>
        <w:t xml:space="preserve">Assess whether </w:t>
      </w:r>
      <w:r w:rsidR="002D59DC">
        <w:t xml:space="preserve">the change </w:t>
      </w:r>
      <w:r w:rsidR="005F2235">
        <w:t xml:space="preserve">results from </w:t>
      </w:r>
      <w:r>
        <w:t>changes in</w:t>
      </w:r>
      <w:r w:rsidR="00506364">
        <w:t xml:space="preserve"> data </w:t>
      </w:r>
      <w:r w:rsidR="00BD6FDA">
        <w:t xml:space="preserve">from the data source that is </w:t>
      </w:r>
      <w:r w:rsidR="002D59DC">
        <w:t>utilized by your program</w:t>
      </w:r>
    </w:p>
    <w:p w14:paraId="20710976" w14:textId="00EFA899" w:rsidR="009B72A3" w:rsidRPr="009B72A3" w:rsidRDefault="002D59DC" w:rsidP="001B5480">
      <w:pPr>
        <w:pStyle w:val="ListParagraph"/>
        <w:numPr>
          <w:ilvl w:val="2"/>
          <w:numId w:val="8"/>
        </w:numPr>
        <w:spacing w:after="0" w:line="240" w:lineRule="auto"/>
        <w:rPr>
          <w:b/>
        </w:rPr>
      </w:pPr>
      <w:r>
        <w:t>If your program utilizes reports from v</w:t>
      </w:r>
      <w:r w:rsidR="00506364">
        <w:t>ital records (birth, death, fetal death)</w:t>
      </w:r>
      <w:r>
        <w:t xml:space="preserve">, consider </w:t>
      </w:r>
      <w:r w:rsidR="009B72A3">
        <w:t xml:space="preserve">whether there have been </w:t>
      </w:r>
      <w:r w:rsidR="00A06864">
        <w:t xml:space="preserve">changes in the </w:t>
      </w:r>
      <w:r>
        <w:t xml:space="preserve">frequency </w:t>
      </w:r>
      <w:r w:rsidR="00A06864">
        <w:t xml:space="preserve">with which </w:t>
      </w:r>
      <w:r>
        <w:t xml:space="preserve">data </w:t>
      </w:r>
      <w:r w:rsidR="00A06864">
        <w:t xml:space="preserve">are </w:t>
      </w:r>
      <w:r>
        <w:t xml:space="preserve">received </w:t>
      </w:r>
      <w:r w:rsidR="009B72A3">
        <w:t xml:space="preserve">or </w:t>
      </w:r>
      <w:r w:rsidR="00A06864">
        <w:t xml:space="preserve">the type </w:t>
      </w:r>
      <w:r>
        <w:t>of a</w:t>
      </w:r>
      <w:r w:rsidR="00506364">
        <w:t xml:space="preserve">ccess </w:t>
      </w:r>
      <w:r w:rsidR="00A06864">
        <w:t xml:space="preserve">you have </w:t>
      </w:r>
      <w:r w:rsidR="00506364">
        <w:t>(reports vs. live access)</w:t>
      </w:r>
    </w:p>
    <w:p w14:paraId="4D068B89" w14:textId="63B98117" w:rsidR="00506364" w:rsidRPr="00E53724" w:rsidRDefault="002D59DC" w:rsidP="001B5480">
      <w:pPr>
        <w:pStyle w:val="ListParagraph"/>
        <w:numPr>
          <w:ilvl w:val="2"/>
          <w:numId w:val="8"/>
        </w:numPr>
        <w:spacing w:after="0" w:line="240" w:lineRule="auto"/>
        <w:rPr>
          <w:b/>
        </w:rPr>
      </w:pPr>
      <w:r>
        <w:t>If your program utilizes reports from hospital discharge</w:t>
      </w:r>
      <w:r w:rsidR="00A821B0">
        <w:t xml:space="preserve"> data</w:t>
      </w:r>
      <w:r w:rsidR="009B72A3">
        <w:t>,</w:t>
      </w:r>
      <w:r w:rsidR="00A821B0">
        <w:t xml:space="preserve"> consider </w:t>
      </w:r>
      <w:r w:rsidR="009B72A3">
        <w:t xml:space="preserve">whether there have been </w:t>
      </w:r>
      <w:r w:rsidR="00A821B0">
        <w:t xml:space="preserve">changes in </w:t>
      </w:r>
      <w:r>
        <w:t>the number of h</w:t>
      </w:r>
      <w:r w:rsidR="00506364">
        <w:t>ospitals included</w:t>
      </w:r>
      <w:r w:rsidR="00A821B0">
        <w:t xml:space="preserve">, the </w:t>
      </w:r>
      <w:r>
        <w:t xml:space="preserve">frequency </w:t>
      </w:r>
      <w:r w:rsidR="00A821B0">
        <w:t xml:space="preserve">with which </w:t>
      </w:r>
      <w:r>
        <w:t xml:space="preserve">data </w:t>
      </w:r>
      <w:r w:rsidR="00A821B0">
        <w:t xml:space="preserve">are </w:t>
      </w:r>
      <w:r>
        <w:t xml:space="preserve">received and </w:t>
      </w:r>
      <w:r w:rsidR="00506364">
        <w:t>reported</w:t>
      </w:r>
      <w:r w:rsidR="00A821B0">
        <w:t xml:space="preserve">, </w:t>
      </w:r>
      <w:r w:rsidR="009B72A3">
        <w:t xml:space="preserve">or </w:t>
      </w:r>
      <w:r w:rsidR="00A821B0">
        <w:t xml:space="preserve">the information that is </w:t>
      </w:r>
      <w:r w:rsidR="00506364">
        <w:t>included</w:t>
      </w:r>
    </w:p>
    <w:p w14:paraId="5E9A3927" w14:textId="77777777" w:rsidR="00E53724" w:rsidRPr="00E53724" w:rsidRDefault="00E53724" w:rsidP="007B1869">
      <w:pPr>
        <w:spacing w:after="0" w:line="240" w:lineRule="auto"/>
        <w:rPr>
          <w:b/>
        </w:rPr>
      </w:pPr>
    </w:p>
    <w:p w14:paraId="7CAD45C9" w14:textId="79ED4293" w:rsidR="005B4A4F" w:rsidRPr="007B1869" w:rsidRDefault="005B4A4F" w:rsidP="0034585F">
      <w:pPr>
        <w:numPr>
          <w:ilvl w:val="0"/>
          <w:numId w:val="6"/>
        </w:numPr>
        <w:spacing w:after="0" w:line="240" w:lineRule="auto"/>
        <w:ind w:left="1080" w:hanging="720"/>
        <w:contextualSpacing/>
        <w:rPr>
          <w:rFonts w:eastAsia="Calibri" w:cstheme="minorHAnsi"/>
        </w:rPr>
      </w:pPr>
      <w:r w:rsidRPr="00E53724">
        <w:rPr>
          <w:rFonts w:eastAsia="Calibri" w:cstheme="minorHAnsi"/>
          <w:b/>
        </w:rPr>
        <w:t>Continued monitoring</w:t>
      </w:r>
    </w:p>
    <w:p w14:paraId="1E1FF9AA" w14:textId="4BB9B6C3" w:rsidR="007B1869" w:rsidRDefault="007B1869" w:rsidP="0034585F">
      <w:pPr>
        <w:spacing w:after="0" w:line="240" w:lineRule="auto"/>
        <w:contextualSpacing/>
        <w:rPr>
          <w:rFonts w:eastAsia="Calibri" w:cstheme="minorHAnsi"/>
          <w:b/>
        </w:rPr>
      </w:pPr>
    </w:p>
    <w:p w14:paraId="3F649C17" w14:textId="23F34CB1" w:rsidR="00CD3470" w:rsidRPr="00E94544" w:rsidRDefault="00CD3470" w:rsidP="001B5480">
      <w:pPr>
        <w:numPr>
          <w:ilvl w:val="1"/>
          <w:numId w:val="6"/>
        </w:numPr>
        <w:spacing w:after="0" w:line="240" w:lineRule="auto"/>
        <w:contextualSpacing/>
        <w:rPr>
          <w:rFonts w:ascii="Calibri" w:eastAsia="Calibri" w:hAnsi="Calibri" w:cs="Times New Roman"/>
        </w:rPr>
      </w:pPr>
      <w:r>
        <w:rPr>
          <w:rFonts w:ascii="Calibri" w:eastAsia="Calibri" w:hAnsi="Calibri" w:cs="Times New Roman"/>
        </w:rPr>
        <w:t xml:space="preserve">If a change in </w:t>
      </w:r>
      <w:r w:rsidR="005B4A4F">
        <w:rPr>
          <w:rFonts w:ascii="Calibri" w:eastAsia="Calibri" w:hAnsi="Calibri" w:cs="Times New Roman"/>
        </w:rPr>
        <w:t xml:space="preserve">the data </w:t>
      </w:r>
      <w:r>
        <w:rPr>
          <w:rFonts w:ascii="Calibri" w:eastAsia="Calibri" w:hAnsi="Calibri" w:cs="Times New Roman"/>
        </w:rPr>
        <w:t xml:space="preserve">is noted, continue to monitor whether it persists over time </w:t>
      </w:r>
    </w:p>
    <w:p w14:paraId="11C4EE9B" w14:textId="5C80D13C" w:rsidR="00CD3470" w:rsidRDefault="00CD3470" w:rsidP="00053634">
      <w:pPr>
        <w:numPr>
          <w:ilvl w:val="1"/>
          <w:numId w:val="9"/>
        </w:numPr>
        <w:spacing w:after="0" w:line="240" w:lineRule="auto"/>
        <w:ind w:left="2174" w:hanging="187"/>
        <w:contextualSpacing/>
        <w:rPr>
          <w:rFonts w:ascii="Calibri" w:eastAsia="Calibri" w:hAnsi="Calibri" w:cs="Times New Roman"/>
        </w:rPr>
      </w:pPr>
      <w:r w:rsidRPr="00E94544">
        <w:rPr>
          <w:rFonts w:ascii="Calibri" w:eastAsia="Calibri" w:hAnsi="Calibri" w:cs="Times New Roman"/>
        </w:rPr>
        <w:t xml:space="preserve">A change </w:t>
      </w:r>
      <w:r>
        <w:rPr>
          <w:rFonts w:ascii="Calibri" w:eastAsia="Calibri" w:hAnsi="Calibri" w:cs="Times New Roman"/>
        </w:rPr>
        <w:t xml:space="preserve">noticed </w:t>
      </w:r>
      <w:r w:rsidRPr="00E94544">
        <w:rPr>
          <w:rFonts w:ascii="Calibri" w:eastAsia="Calibri" w:hAnsi="Calibri" w:cs="Times New Roman"/>
        </w:rPr>
        <w:t xml:space="preserve">shortly after the transition to ICD-10-CM </w:t>
      </w:r>
      <w:r>
        <w:rPr>
          <w:rFonts w:ascii="Calibri" w:eastAsia="Calibri" w:hAnsi="Calibri" w:cs="Times New Roman"/>
        </w:rPr>
        <w:t xml:space="preserve">could </w:t>
      </w:r>
      <w:r w:rsidRPr="00E94544">
        <w:rPr>
          <w:rFonts w:ascii="Calibri" w:eastAsia="Calibri" w:hAnsi="Calibri" w:cs="Times New Roman"/>
        </w:rPr>
        <w:t>result f</w:t>
      </w:r>
      <w:r>
        <w:rPr>
          <w:rFonts w:ascii="Calibri" w:eastAsia="Calibri" w:hAnsi="Calibri" w:cs="Times New Roman"/>
        </w:rPr>
        <w:t xml:space="preserve">rom lack of familiarity of </w:t>
      </w:r>
      <w:r w:rsidRPr="00E94544">
        <w:rPr>
          <w:rFonts w:ascii="Calibri" w:eastAsia="Calibri" w:hAnsi="Calibri" w:cs="Times New Roman"/>
        </w:rPr>
        <w:t xml:space="preserve">staff </w:t>
      </w:r>
      <w:r>
        <w:rPr>
          <w:rFonts w:ascii="Calibri" w:eastAsia="Calibri" w:hAnsi="Calibri" w:cs="Times New Roman"/>
        </w:rPr>
        <w:t xml:space="preserve">at the data sources </w:t>
      </w:r>
      <w:r w:rsidRPr="00E94544">
        <w:rPr>
          <w:rFonts w:ascii="Calibri" w:eastAsia="Calibri" w:hAnsi="Calibri" w:cs="Times New Roman"/>
        </w:rPr>
        <w:t>with the new coding scheme</w:t>
      </w:r>
    </w:p>
    <w:p w14:paraId="4B027864" w14:textId="7F58AB23" w:rsidR="00CD3470" w:rsidRDefault="00CD3470" w:rsidP="00053634">
      <w:pPr>
        <w:numPr>
          <w:ilvl w:val="3"/>
          <w:numId w:val="9"/>
        </w:numPr>
        <w:spacing w:after="0" w:line="240" w:lineRule="auto"/>
        <w:contextualSpacing/>
        <w:rPr>
          <w:rFonts w:ascii="Calibri" w:eastAsia="Calibri" w:hAnsi="Calibri" w:cs="Times New Roman"/>
        </w:rPr>
      </w:pPr>
      <w:r>
        <w:rPr>
          <w:rFonts w:ascii="Calibri" w:eastAsia="Calibri" w:hAnsi="Calibri" w:cs="Times New Roman"/>
        </w:rPr>
        <w:t xml:space="preserve">If so, the change may lessen or correct </w:t>
      </w:r>
      <w:r w:rsidR="00E41FCA">
        <w:rPr>
          <w:rFonts w:ascii="Calibri" w:eastAsia="Calibri" w:hAnsi="Calibri" w:cs="Times New Roman"/>
        </w:rPr>
        <w:t xml:space="preserve">itself </w:t>
      </w:r>
      <w:r>
        <w:rPr>
          <w:rFonts w:ascii="Calibri" w:eastAsia="Calibri" w:hAnsi="Calibri" w:cs="Times New Roman"/>
        </w:rPr>
        <w:t>over time as the coding becomes more accurate and consistent with experience</w:t>
      </w:r>
    </w:p>
    <w:p w14:paraId="38D16421" w14:textId="583C663F" w:rsidR="00CD3470" w:rsidRPr="00E94544" w:rsidRDefault="00CD3470" w:rsidP="001B5480">
      <w:pPr>
        <w:numPr>
          <w:ilvl w:val="1"/>
          <w:numId w:val="9"/>
        </w:numPr>
        <w:spacing w:after="0" w:line="240" w:lineRule="auto"/>
        <w:ind w:left="2174" w:hanging="187"/>
        <w:contextualSpacing/>
        <w:rPr>
          <w:rFonts w:ascii="Calibri" w:eastAsia="Calibri" w:hAnsi="Calibri" w:cs="Times New Roman"/>
        </w:rPr>
      </w:pPr>
      <w:r>
        <w:rPr>
          <w:rFonts w:ascii="Calibri" w:eastAsia="Calibri" w:hAnsi="Calibri" w:cs="Times New Roman"/>
        </w:rPr>
        <w:t xml:space="preserve">If the change persists, it may indicate it is more likely related to the ICD-10-CM code itself </w:t>
      </w:r>
    </w:p>
    <w:p w14:paraId="53FB0A9F" w14:textId="306689C0" w:rsidR="00CD3470" w:rsidRPr="00CC47D9" w:rsidRDefault="00CD3470" w:rsidP="001B5480">
      <w:pPr>
        <w:numPr>
          <w:ilvl w:val="1"/>
          <w:numId w:val="6"/>
        </w:numPr>
        <w:spacing w:after="0" w:line="240" w:lineRule="auto"/>
        <w:contextualSpacing/>
        <w:rPr>
          <w:rFonts w:ascii="Calibri" w:eastAsia="Calibri" w:hAnsi="Calibri" w:cs="Times New Roman"/>
          <w:b/>
        </w:rPr>
      </w:pPr>
      <w:r w:rsidRPr="00EA780F">
        <w:rPr>
          <w:rFonts w:ascii="Calibri" w:eastAsia="Calibri" w:hAnsi="Calibri" w:cs="Times New Roman"/>
        </w:rPr>
        <w:lastRenderedPageBreak/>
        <w:t xml:space="preserve">A trend </w:t>
      </w:r>
      <w:r>
        <w:rPr>
          <w:rFonts w:ascii="Calibri" w:eastAsia="Calibri" w:hAnsi="Calibri" w:cs="Times New Roman"/>
        </w:rPr>
        <w:t xml:space="preserve">in </w:t>
      </w:r>
      <w:r w:rsidR="00E53724">
        <w:rPr>
          <w:rFonts w:ascii="Calibri" w:eastAsia="Calibri" w:hAnsi="Calibri" w:cs="Times New Roman"/>
        </w:rPr>
        <w:t xml:space="preserve">the data </w:t>
      </w:r>
      <w:r w:rsidRPr="00EA780F">
        <w:rPr>
          <w:rFonts w:ascii="Calibri" w:eastAsia="Calibri" w:hAnsi="Calibri" w:cs="Times New Roman"/>
        </w:rPr>
        <w:t xml:space="preserve">that was </w:t>
      </w:r>
      <w:r>
        <w:rPr>
          <w:rFonts w:ascii="Calibri" w:eastAsia="Calibri" w:hAnsi="Calibri" w:cs="Times New Roman"/>
        </w:rPr>
        <w:t xml:space="preserve">noted </w:t>
      </w:r>
      <w:r w:rsidRPr="00EA780F">
        <w:rPr>
          <w:rFonts w:ascii="Calibri" w:eastAsia="Calibri" w:hAnsi="Calibri" w:cs="Times New Roman"/>
        </w:rPr>
        <w:t xml:space="preserve">before the transition to ICD-10-CM </w:t>
      </w:r>
      <w:r>
        <w:rPr>
          <w:rFonts w:ascii="Calibri" w:eastAsia="Calibri" w:hAnsi="Calibri" w:cs="Times New Roman"/>
        </w:rPr>
        <w:t xml:space="preserve">and </w:t>
      </w:r>
      <w:r w:rsidRPr="00EA780F">
        <w:rPr>
          <w:rFonts w:ascii="Calibri" w:eastAsia="Calibri" w:hAnsi="Calibri" w:cs="Times New Roman"/>
        </w:rPr>
        <w:t>continue</w:t>
      </w:r>
      <w:r>
        <w:rPr>
          <w:rFonts w:ascii="Calibri" w:eastAsia="Calibri" w:hAnsi="Calibri" w:cs="Times New Roman"/>
        </w:rPr>
        <w:t>s</w:t>
      </w:r>
      <w:r w:rsidRPr="00EA780F">
        <w:rPr>
          <w:rFonts w:ascii="Calibri" w:eastAsia="Calibri" w:hAnsi="Calibri" w:cs="Times New Roman"/>
        </w:rPr>
        <w:t xml:space="preserve"> afterward may not be cause for concern</w:t>
      </w:r>
    </w:p>
    <w:p w14:paraId="68D14583" w14:textId="157C9007" w:rsidR="00CD3470" w:rsidRDefault="00CD3470" w:rsidP="007B1869">
      <w:pPr>
        <w:pStyle w:val="ListParagraph"/>
        <w:spacing w:after="0" w:line="240" w:lineRule="auto"/>
        <w:ind w:left="2160"/>
        <w:rPr>
          <w:rFonts w:cstheme="minorHAnsi"/>
        </w:rPr>
      </w:pPr>
    </w:p>
    <w:p w14:paraId="66AE1E54" w14:textId="77777777" w:rsidR="007B1869" w:rsidRPr="009717F4" w:rsidRDefault="007B1869" w:rsidP="007B1869">
      <w:pPr>
        <w:pStyle w:val="ListParagraph"/>
        <w:spacing w:after="0" w:line="240" w:lineRule="auto"/>
        <w:ind w:left="2160"/>
        <w:rPr>
          <w:rFonts w:cstheme="minorHAnsi"/>
        </w:rPr>
      </w:pPr>
    </w:p>
    <w:p w14:paraId="3A323BAC" w14:textId="7A03DEA7" w:rsidR="00974798" w:rsidRPr="00094D20" w:rsidRDefault="006E7264" w:rsidP="00B05A9E">
      <w:pPr>
        <w:keepNext/>
        <w:keepLines/>
        <w:spacing w:after="0" w:line="240" w:lineRule="auto"/>
        <w:outlineLvl w:val="1"/>
        <w:rPr>
          <w:rFonts w:ascii="Calibri Light" w:eastAsia="Times New Roman" w:hAnsi="Calibri Light" w:cs="Times New Roman"/>
          <w:b/>
          <w:color w:val="2E74B5"/>
          <w:sz w:val="26"/>
          <w:szCs w:val="26"/>
        </w:rPr>
      </w:pPr>
      <w:r w:rsidRPr="00094D20">
        <w:rPr>
          <w:rFonts w:ascii="Calibri Light" w:eastAsia="Times New Roman" w:hAnsi="Calibri Light" w:cs="Times New Roman"/>
          <w:b/>
          <w:color w:val="2E74B5"/>
          <w:sz w:val="26"/>
          <w:szCs w:val="26"/>
        </w:rPr>
        <w:t>I</w:t>
      </w:r>
      <w:r>
        <w:rPr>
          <w:rFonts w:ascii="Calibri Light" w:eastAsia="Times New Roman" w:hAnsi="Calibri Light" w:cs="Times New Roman"/>
          <w:b/>
          <w:color w:val="2E74B5"/>
          <w:sz w:val="26"/>
          <w:szCs w:val="26"/>
        </w:rPr>
        <w:t>V</w:t>
      </w:r>
      <w:r w:rsidRPr="00094D20">
        <w:rPr>
          <w:rFonts w:ascii="Calibri Light" w:eastAsia="Times New Roman" w:hAnsi="Calibri Light" w:cs="Times New Roman"/>
          <w:b/>
          <w:color w:val="2E74B5"/>
          <w:sz w:val="26"/>
          <w:szCs w:val="26"/>
        </w:rPr>
        <w:t xml:space="preserve">. </w:t>
      </w:r>
      <w:r w:rsidR="00AF03C1" w:rsidRPr="00094D20">
        <w:rPr>
          <w:rFonts w:ascii="Calibri Light" w:eastAsia="Times New Roman" w:hAnsi="Calibri Light" w:cs="Times New Roman"/>
          <w:b/>
          <w:color w:val="2E74B5"/>
          <w:sz w:val="26"/>
          <w:szCs w:val="26"/>
        </w:rPr>
        <w:t>Tips, Suggestions and Things to Consider</w:t>
      </w:r>
    </w:p>
    <w:p w14:paraId="4996D2EA" w14:textId="77777777" w:rsidR="007B1869" w:rsidRDefault="007B1869" w:rsidP="007B1869">
      <w:pPr>
        <w:spacing w:after="0" w:line="240" w:lineRule="auto"/>
        <w:rPr>
          <w:rFonts w:cstheme="minorHAnsi"/>
        </w:rPr>
      </w:pPr>
    </w:p>
    <w:p w14:paraId="0526FC9A" w14:textId="2D68B6E8" w:rsidR="006E7264" w:rsidRDefault="00AF03C1" w:rsidP="0034585F">
      <w:pPr>
        <w:spacing w:after="0" w:line="240" w:lineRule="auto"/>
        <w:rPr>
          <w:rFonts w:cstheme="minorHAnsi"/>
        </w:rPr>
      </w:pPr>
      <w:r>
        <w:rPr>
          <w:rFonts w:cstheme="minorHAnsi"/>
        </w:rPr>
        <w:t xml:space="preserve">The following </w:t>
      </w:r>
      <w:r w:rsidR="006004EE">
        <w:rPr>
          <w:rFonts w:cstheme="minorHAnsi"/>
        </w:rPr>
        <w:t>tips</w:t>
      </w:r>
      <w:r w:rsidR="007B1869">
        <w:rPr>
          <w:rFonts w:cstheme="minorHAnsi"/>
        </w:rPr>
        <w:t xml:space="preserve"> may be helpful </w:t>
      </w:r>
      <w:r w:rsidR="006004EE">
        <w:rPr>
          <w:rFonts w:cstheme="minorHAnsi"/>
        </w:rPr>
        <w:t>in assessing</w:t>
      </w:r>
      <w:r w:rsidR="007B1869">
        <w:rPr>
          <w:rFonts w:cstheme="minorHAnsi"/>
        </w:rPr>
        <w:t xml:space="preserve"> </w:t>
      </w:r>
      <w:r w:rsidRPr="00AF03C1">
        <w:rPr>
          <w:rFonts w:cstheme="minorHAnsi"/>
        </w:rPr>
        <w:t>the effects of the trans</w:t>
      </w:r>
      <w:r>
        <w:rPr>
          <w:rFonts w:cstheme="minorHAnsi"/>
        </w:rPr>
        <w:t xml:space="preserve">ition to ICD-10-CM </w:t>
      </w:r>
      <w:r w:rsidR="007B1869">
        <w:rPr>
          <w:rFonts w:cstheme="minorHAnsi"/>
        </w:rPr>
        <w:t xml:space="preserve">on birth defects surveillance </w:t>
      </w:r>
      <w:r w:rsidRPr="00AF03C1">
        <w:rPr>
          <w:rFonts w:cstheme="minorHAnsi"/>
        </w:rPr>
        <w:t>data</w:t>
      </w:r>
      <w:r w:rsidR="007B1869">
        <w:rPr>
          <w:rFonts w:cstheme="minorHAnsi"/>
        </w:rPr>
        <w:t>:</w:t>
      </w:r>
    </w:p>
    <w:p w14:paraId="1C937BD3" w14:textId="77777777" w:rsidR="006E7264" w:rsidRDefault="006E7264" w:rsidP="0034585F">
      <w:pPr>
        <w:spacing w:after="0" w:line="240" w:lineRule="auto"/>
        <w:rPr>
          <w:rFonts w:cstheme="minorHAnsi"/>
        </w:rPr>
      </w:pPr>
    </w:p>
    <w:p w14:paraId="2E999A42" w14:textId="01B7C278" w:rsidR="00E425F7" w:rsidRDefault="00E53724" w:rsidP="0034585F">
      <w:pPr>
        <w:pStyle w:val="ListParagraph"/>
        <w:numPr>
          <w:ilvl w:val="0"/>
          <w:numId w:val="28"/>
        </w:numPr>
        <w:spacing w:after="0" w:line="240" w:lineRule="auto"/>
        <w:ind w:left="1080" w:hanging="720"/>
        <w:rPr>
          <w:b/>
        </w:rPr>
      </w:pPr>
      <w:r w:rsidRPr="00B05A9E">
        <w:rPr>
          <w:b/>
        </w:rPr>
        <w:t xml:space="preserve">Keep </w:t>
      </w:r>
      <w:r w:rsidR="00314AA3" w:rsidRPr="00B05A9E">
        <w:rPr>
          <w:b/>
        </w:rPr>
        <w:t xml:space="preserve">notes on </w:t>
      </w:r>
      <w:r w:rsidR="006004EE">
        <w:rPr>
          <w:b/>
        </w:rPr>
        <w:t>your</w:t>
      </w:r>
      <w:r w:rsidR="006004EE" w:rsidRPr="00B05A9E">
        <w:rPr>
          <w:b/>
        </w:rPr>
        <w:t xml:space="preserve"> </w:t>
      </w:r>
      <w:r w:rsidR="00314AA3" w:rsidRPr="00B05A9E">
        <w:rPr>
          <w:b/>
        </w:rPr>
        <w:t xml:space="preserve">coding decisions </w:t>
      </w:r>
    </w:p>
    <w:p w14:paraId="485EF2EA" w14:textId="77777777" w:rsidR="0034585F" w:rsidRPr="0034585F" w:rsidRDefault="0034585F" w:rsidP="0034585F">
      <w:pPr>
        <w:spacing w:after="0" w:line="240" w:lineRule="auto"/>
        <w:rPr>
          <w:b/>
        </w:rPr>
      </w:pPr>
    </w:p>
    <w:p w14:paraId="7CFF7BEE" w14:textId="380C122F" w:rsidR="00E53724" w:rsidRPr="00753057" w:rsidRDefault="00E53724" w:rsidP="0034585F">
      <w:pPr>
        <w:pStyle w:val="ListParagraph"/>
        <w:numPr>
          <w:ilvl w:val="1"/>
          <w:numId w:val="28"/>
        </w:numPr>
        <w:spacing w:after="0" w:line="240" w:lineRule="auto"/>
        <w:ind w:left="1440"/>
      </w:pPr>
      <w:r w:rsidRPr="006E7264">
        <w:rPr>
          <w:rFonts w:cstheme="minorHAnsi"/>
        </w:rPr>
        <w:t xml:space="preserve">Have </w:t>
      </w:r>
      <w:r w:rsidR="00974798" w:rsidRPr="006E7264">
        <w:rPr>
          <w:rFonts w:cstheme="minorHAnsi"/>
        </w:rPr>
        <w:t>a h</w:t>
      </w:r>
      <w:r w:rsidR="00314AA3" w:rsidRPr="006E7264">
        <w:rPr>
          <w:rFonts w:cstheme="minorHAnsi"/>
        </w:rPr>
        <w:t xml:space="preserve">ard copy of </w:t>
      </w:r>
      <w:r w:rsidRPr="006E7264">
        <w:rPr>
          <w:rFonts w:cstheme="minorHAnsi"/>
        </w:rPr>
        <w:t xml:space="preserve">the </w:t>
      </w:r>
      <w:r w:rsidR="00314AA3" w:rsidRPr="00E41FCA">
        <w:rPr>
          <w:rFonts w:cstheme="minorHAnsi"/>
        </w:rPr>
        <w:t xml:space="preserve">ICD-10-CM code </w:t>
      </w:r>
      <w:r w:rsidRPr="00E41FCA">
        <w:rPr>
          <w:rFonts w:cstheme="minorHAnsi"/>
        </w:rPr>
        <w:t xml:space="preserve">and any </w:t>
      </w:r>
      <w:r w:rsidR="00314AA3" w:rsidRPr="00E41FCA">
        <w:rPr>
          <w:rFonts w:cstheme="minorHAnsi"/>
        </w:rPr>
        <w:t xml:space="preserve">mapping </w:t>
      </w:r>
      <w:r w:rsidRPr="00E41FCA">
        <w:rPr>
          <w:rFonts w:cstheme="minorHAnsi"/>
        </w:rPr>
        <w:t>or translation references handy</w:t>
      </w:r>
    </w:p>
    <w:p w14:paraId="7BEBBD8F" w14:textId="65C6B1E6" w:rsidR="00314AA3" w:rsidRPr="000730B2" w:rsidRDefault="00E53724" w:rsidP="0034585F">
      <w:pPr>
        <w:pStyle w:val="ListParagraph"/>
        <w:numPr>
          <w:ilvl w:val="1"/>
          <w:numId w:val="28"/>
        </w:numPr>
        <w:spacing w:after="0" w:line="240" w:lineRule="auto"/>
        <w:ind w:left="1440"/>
        <w:rPr>
          <w:rStyle w:val="Hyperlink"/>
          <w:rFonts w:cstheme="minorHAnsi"/>
          <w:color w:val="auto"/>
          <w:u w:val="none"/>
        </w:rPr>
      </w:pPr>
      <w:r w:rsidRPr="006E7264">
        <w:rPr>
          <w:rFonts w:cstheme="minorHAnsi"/>
        </w:rPr>
        <w:t xml:space="preserve">Code translations from ICD-9-CM to ICD-10-CM and </w:t>
      </w:r>
      <w:r w:rsidR="002834E3" w:rsidRPr="006E7264">
        <w:rPr>
          <w:rFonts w:cstheme="minorHAnsi"/>
        </w:rPr>
        <w:t>vice versa</w:t>
      </w:r>
      <w:r w:rsidR="00E41FCA">
        <w:rPr>
          <w:rFonts w:cstheme="minorHAnsi"/>
        </w:rPr>
        <w:t xml:space="preserve"> </w:t>
      </w:r>
      <w:r w:rsidRPr="006E7264">
        <w:rPr>
          <w:rFonts w:cstheme="minorHAnsi"/>
        </w:rPr>
        <w:t xml:space="preserve">are available from </w:t>
      </w:r>
      <w:r w:rsidRPr="00753057">
        <w:t xml:space="preserve">the ICD-10-CM and Birth Defects page under Resources on the NBDPN website at </w:t>
      </w:r>
      <w:hyperlink r:id="rId13" w:history="1">
        <w:r w:rsidRPr="00753057">
          <w:rPr>
            <w:rStyle w:val="Hyperlink"/>
          </w:rPr>
          <w:t>https://www.nbdpn.org/icd10.php</w:t>
        </w:r>
      </w:hyperlink>
    </w:p>
    <w:p w14:paraId="12A3B673" w14:textId="77777777" w:rsidR="000730B2" w:rsidRPr="000730B2" w:rsidRDefault="000730B2" w:rsidP="0034585F">
      <w:pPr>
        <w:spacing w:after="0" w:line="240" w:lineRule="auto"/>
        <w:rPr>
          <w:rStyle w:val="Hyperlink"/>
          <w:rFonts w:cstheme="minorHAnsi"/>
          <w:color w:val="auto"/>
          <w:u w:val="none"/>
        </w:rPr>
      </w:pPr>
    </w:p>
    <w:p w14:paraId="098C3A5B" w14:textId="43D8D2EA" w:rsidR="00753057" w:rsidRDefault="006004EE" w:rsidP="0034585F">
      <w:pPr>
        <w:pStyle w:val="ListParagraph"/>
        <w:numPr>
          <w:ilvl w:val="0"/>
          <w:numId w:val="28"/>
        </w:numPr>
        <w:spacing w:after="0" w:line="240" w:lineRule="auto"/>
        <w:ind w:left="1080" w:hanging="720"/>
        <w:rPr>
          <w:rFonts w:cstheme="minorHAnsi"/>
          <w:b/>
        </w:rPr>
      </w:pPr>
      <w:r>
        <w:rPr>
          <w:rFonts w:cstheme="minorHAnsi"/>
          <w:b/>
        </w:rPr>
        <w:t xml:space="preserve">Be </w:t>
      </w:r>
      <w:proofErr w:type="gramStart"/>
      <w:r>
        <w:rPr>
          <w:rFonts w:cstheme="minorHAnsi"/>
          <w:b/>
        </w:rPr>
        <w:t>alert</w:t>
      </w:r>
      <w:proofErr w:type="gramEnd"/>
      <w:r w:rsidR="00314AA3" w:rsidRPr="00B05A9E">
        <w:rPr>
          <w:rFonts w:cstheme="minorHAnsi"/>
          <w:b/>
        </w:rPr>
        <w:t xml:space="preserve"> to chang</w:t>
      </w:r>
      <w:r w:rsidR="00E53724" w:rsidRPr="00B05A9E">
        <w:rPr>
          <w:rFonts w:cstheme="minorHAnsi"/>
          <w:b/>
        </w:rPr>
        <w:t xml:space="preserve">es in the </w:t>
      </w:r>
      <w:r w:rsidR="00314AA3" w:rsidRPr="00B05A9E">
        <w:rPr>
          <w:rFonts w:cstheme="minorHAnsi"/>
          <w:b/>
        </w:rPr>
        <w:t xml:space="preserve">documentation </w:t>
      </w:r>
      <w:r>
        <w:rPr>
          <w:rFonts w:cstheme="minorHAnsi"/>
          <w:b/>
        </w:rPr>
        <w:t>of</w:t>
      </w:r>
      <w:r w:rsidRPr="00B05A9E">
        <w:rPr>
          <w:rFonts w:cstheme="minorHAnsi"/>
          <w:b/>
        </w:rPr>
        <w:t xml:space="preserve"> </w:t>
      </w:r>
      <w:r w:rsidR="00314AA3" w:rsidRPr="00B05A9E">
        <w:rPr>
          <w:rFonts w:cstheme="minorHAnsi"/>
          <w:b/>
        </w:rPr>
        <w:t>case reports and medical records</w:t>
      </w:r>
    </w:p>
    <w:p w14:paraId="066E1836" w14:textId="77777777" w:rsidR="0034585F" w:rsidRPr="0034585F" w:rsidRDefault="0034585F" w:rsidP="0034585F">
      <w:pPr>
        <w:spacing w:after="0" w:line="240" w:lineRule="auto"/>
        <w:rPr>
          <w:rFonts w:cstheme="minorHAnsi"/>
          <w:b/>
        </w:rPr>
      </w:pPr>
    </w:p>
    <w:p w14:paraId="2B57ECA2" w14:textId="5F9CC2E3" w:rsidR="00753057" w:rsidRDefault="00314AA3" w:rsidP="0034585F">
      <w:pPr>
        <w:pStyle w:val="ListParagraph"/>
        <w:numPr>
          <w:ilvl w:val="1"/>
          <w:numId w:val="28"/>
        </w:numPr>
        <w:spacing w:after="0" w:line="240" w:lineRule="auto"/>
        <w:ind w:left="1440"/>
        <w:rPr>
          <w:rFonts w:cstheme="minorHAnsi"/>
        </w:rPr>
      </w:pPr>
      <w:r w:rsidRPr="006E7264">
        <w:rPr>
          <w:rFonts w:cstheme="minorHAnsi"/>
        </w:rPr>
        <w:t xml:space="preserve">Use of ICD-10-CM may force changes in terminology </w:t>
      </w:r>
    </w:p>
    <w:p w14:paraId="5D680AE0" w14:textId="77777777" w:rsidR="000730B2" w:rsidRPr="000730B2" w:rsidRDefault="000730B2" w:rsidP="0034585F">
      <w:pPr>
        <w:spacing w:after="0" w:line="240" w:lineRule="auto"/>
        <w:rPr>
          <w:rFonts w:cstheme="minorHAnsi"/>
        </w:rPr>
      </w:pPr>
    </w:p>
    <w:p w14:paraId="6F83D3B7" w14:textId="70202734" w:rsidR="007B1869" w:rsidRPr="0034585F" w:rsidRDefault="006004EE" w:rsidP="0034585F">
      <w:pPr>
        <w:pStyle w:val="ListParagraph"/>
        <w:numPr>
          <w:ilvl w:val="0"/>
          <w:numId w:val="28"/>
        </w:numPr>
        <w:spacing w:after="0" w:line="240" w:lineRule="auto"/>
        <w:ind w:left="1080" w:hanging="720"/>
        <w:rPr>
          <w:rFonts w:cstheme="minorHAnsi"/>
          <w:b/>
        </w:rPr>
      </w:pPr>
      <w:r>
        <w:rPr>
          <w:b/>
        </w:rPr>
        <w:t>Note</w:t>
      </w:r>
      <w:r w:rsidRPr="00B05A9E">
        <w:rPr>
          <w:b/>
        </w:rPr>
        <w:t xml:space="preserve"> </w:t>
      </w:r>
      <w:r w:rsidR="007F5E0D" w:rsidRPr="00B05A9E">
        <w:rPr>
          <w:b/>
        </w:rPr>
        <w:t xml:space="preserve">changes </w:t>
      </w:r>
      <w:r w:rsidR="00E53724" w:rsidRPr="00B05A9E">
        <w:rPr>
          <w:b/>
        </w:rPr>
        <w:t xml:space="preserve">in surveillance data resulting from the transition to ICD-10-CM </w:t>
      </w:r>
      <w:r w:rsidR="00EE4663">
        <w:rPr>
          <w:b/>
        </w:rPr>
        <w:t xml:space="preserve">that </w:t>
      </w:r>
      <w:r w:rsidR="007F5E0D" w:rsidRPr="00B05A9E">
        <w:rPr>
          <w:b/>
        </w:rPr>
        <w:t xml:space="preserve">cannot be </w:t>
      </w:r>
      <w:r w:rsidR="00753057" w:rsidRPr="00B05A9E">
        <w:rPr>
          <w:b/>
        </w:rPr>
        <w:t>corrected</w:t>
      </w:r>
    </w:p>
    <w:p w14:paraId="466AFAD7" w14:textId="77777777" w:rsidR="0034585F" w:rsidRPr="0034585F" w:rsidRDefault="0034585F" w:rsidP="0034585F">
      <w:pPr>
        <w:spacing w:after="0" w:line="240" w:lineRule="auto"/>
        <w:rPr>
          <w:rFonts w:cstheme="minorHAnsi"/>
          <w:b/>
        </w:rPr>
      </w:pPr>
    </w:p>
    <w:p w14:paraId="3A28CA1F" w14:textId="678191D1" w:rsidR="00147415" w:rsidRPr="000730B2" w:rsidRDefault="00E53724" w:rsidP="0034585F">
      <w:pPr>
        <w:pStyle w:val="ListParagraph"/>
        <w:numPr>
          <w:ilvl w:val="1"/>
          <w:numId w:val="28"/>
        </w:numPr>
        <w:spacing w:after="0" w:line="240" w:lineRule="auto"/>
        <w:ind w:left="1440"/>
        <w:rPr>
          <w:rFonts w:cstheme="minorHAnsi"/>
        </w:rPr>
      </w:pPr>
      <w:r w:rsidRPr="00753057">
        <w:t>These</w:t>
      </w:r>
      <w:r w:rsidR="007F5E0D" w:rsidRPr="00753057">
        <w:t xml:space="preserve"> should be a</w:t>
      </w:r>
      <w:r w:rsidR="00416C94" w:rsidRPr="00753057">
        <w:t xml:space="preserve">cknowledged as best as </w:t>
      </w:r>
      <w:r w:rsidRPr="00753057">
        <w:t>possible when disseminating data</w:t>
      </w:r>
    </w:p>
    <w:p w14:paraId="70C3F409" w14:textId="77777777" w:rsidR="000730B2" w:rsidRPr="000730B2" w:rsidRDefault="000730B2" w:rsidP="0034585F">
      <w:pPr>
        <w:spacing w:after="0" w:line="240" w:lineRule="auto"/>
        <w:rPr>
          <w:rFonts w:cstheme="minorHAnsi"/>
        </w:rPr>
      </w:pPr>
    </w:p>
    <w:p w14:paraId="56C083F2" w14:textId="1C8CE40A" w:rsidR="00753057" w:rsidRPr="0034585F" w:rsidRDefault="00EE4663" w:rsidP="0034585F">
      <w:pPr>
        <w:pStyle w:val="ListParagraph"/>
        <w:numPr>
          <w:ilvl w:val="0"/>
          <w:numId w:val="28"/>
        </w:numPr>
        <w:spacing w:after="0" w:line="240" w:lineRule="auto"/>
        <w:ind w:left="1080" w:hanging="720"/>
        <w:rPr>
          <w:rFonts w:ascii="Calibri Light" w:eastAsia="Times New Roman" w:hAnsi="Calibri Light" w:cs="Times New Roman"/>
          <w:b/>
          <w:color w:val="2E74B5"/>
          <w:sz w:val="26"/>
          <w:szCs w:val="26"/>
        </w:rPr>
      </w:pPr>
      <w:r>
        <w:rPr>
          <w:rFonts w:cstheme="minorHAnsi"/>
          <w:b/>
        </w:rPr>
        <w:t>Recall that t</w:t>
      </w:r>
      <w:r w:rsidR="007B1869" w:rsidRPr="00B05A9E">
        <w:rPr>
          <w:rFonts w:cstheme="minorHAnsi"/>
          <w:b/>
        </w:rPr>
        <w:t>he healthcare delivery system is constantly evolving in ways that can affect surveillance data</w:t>
      </w:r>
    </w:p>
    <w:p w14:paraId="331D38B9" w14:textId="77777777" w:rsidR="0034585F" w:rsidRPr="0034585F" w:rsidRDefault="0034585F" w:rsidP="0034585F">
      <w:pPr>
        <w:spacing w:after="0" w:line="240" w:lineRule="auto"/>
        <w:rPr>
          <w:rFonts w:ascii="Calibri Light" w:eastAsia="Times New Roman" w:hAnsi="Calibri Light" w:cs="Times New Roman"/>
          <w:b/>
          <w:color w:val="2E74B5"/>
          <w:sz w:val="26"/>
          <w:szCs w:val="26"/>
        </w:rPr>
      </w:pPr>
    </w:p>
    <w:p w14:paraId="03227F78" w14:textId="78C0EF77" w:rsidR="001B5480" w:rsidRDefault="00753057" w:rsidP="0034585F">
      <w:pPr>
        <w:pStyle w:val="ListParagraph"/>
        <w:numPr>
          <w:ilvl w:val="1"/>
          <w:numId w:val="28"/>
        </w:numPr>
        <w:spacing w:after="0" w:line="240" w:lineRule="auto"/>
        <w:ind w:left="1440"/>
      </w:pPr>
      <w:r w:rsidRPr="00753057">
        <w:t>The transition to use of electronic medical records may contribute to some of the observed changes as their use was adopted by many healthcare systems in 2015 as well</w:t>
      </w:r>
    </w:p>
    <w:p w14:paraId="1CAFA0F1" w14:textId="77777777" w:rsidR="001B5480" w:rsidRDefault="001B5480" w:rsidP="0034585F">
      <w:pPr>
        <w:pStyle w:val="ListParagraph"/>
        <w:numPr>
          <w:ilvl w:val="0"/>
          <w:numId w:val="28"/>
        </w:numPr>
        <w:spacing w:after="0" w:line="240" w:lineRule="auto"/>
      </w:pPr>
      <w:r>
        <w:br w:type="page"/>
      </w:r>
    </w:p>
    <w:p w14:paraId="05858E70" w14:textId="3C251D25" w:rsidR="001B5480" w:rsidRPr="00094D20" w:rsidRDefault="006E7264" w:rsidP="001B5480">
      <w:pPr>
        <w:spacing w:after="0"/>
        <w:rPr>
          <w:rFonts w:ascii="Calibri Light" w:eastAsia="Times New Roman" w:hAnsi="Calibri Light" w:cs="Times New Roman"/>
          <w:b/>
          <w:color w:val="2E74B5"/>
          <w:sz w:val="26"/>
          <w:szCs w:val="26"/>
        </w:rPr>
      </w:pPr>
      <w:r>
        <w:rPr>
          <w:rFonts w:ascii="Calibri Light" w:eastAsia="Times New Roman" w:hAnsi="Calibri Light" w:cs="Times New Roman"/>
          <w:b/>
          <w:color w:val="2E74B5"/>
          <w:sz w:val="26"/>
          <w:szCs w:val="26"/>
        </w:rPr>
        <w:lastRenderedPageBreak/>
        <w:t>V</w:t>
      </w:r>
      <w:r w:rsidRPr="00094D20">
        <w:rPr>
          <w:rFonts w:ascii="Calibri Light" w:eastAsia="Times New Roman" w:hAnsi="Calibri Light" w:cs="Times New Roman"/>
          <w:b/>
          <w:color w:val="2E74B5"/>
          <w:sz w:val="26"/>
          <w:szCs w:val="26"/>
        </w:rPr>
        <w:t xml:space="preserve">. </w:t>
      </w:r>
      <w:r w:rsidR="001B5480" w:rsidRPr="00094D20">
        <w:rPr>
          <w:rFonts w:ascii="Calibri Light" w:eastAsia="Times New Roman" w:hAnsi="Calibri Light" w:cs="Times New Roman"/>
          <w:b/>
          <w:color w:val="2E74B5"/>
          <w:sz w:val="26"/>
          <w:szCs w:val="26"/>
        </w:rPr>
        <w:t>Appendix</w:t>
      </w:r>
    </w:p>
    <w:p w14:paraId="6FB62558" w14:textId="77777777" w:rsidR="001B5480" w:rsidRDefault="001B5480" w:rsidP="001B5480">
      <w:pPr>
        <w:spacing w:after="0"/>
        <w:rPr>
          <w:rFonts w:cstheme="minorHAnsi"/>
        </w:rPr>
      </w:pPr>
    </w:p>
    <w:p w14:paraId="72B044DB" w14:textId="4610F7B1" w:rsidR="00F825D4" w:rsidRDefault="001B5480" w:rsidP="00053634">
      <w:pPr>
        <w:pStyle w:val="ListParagraph"/>
        <w:numPr>
          <w:ilvl w:val="0"/>
          <w:numId w:val="21"/>
        </w:numPr>
        <w:spacing w:after="0" w:line="240" w:lineRule="auto"/>
        <w:ind w:left="1080" w:hanging="720"/>
        <w:rPr>
          <w:rFonts w:cstheme="minorHAnsi"/>
        </w:rPr>
      </w:pPr>
      <w:r w:rsidRPr="00F825D4">
        <w:rPr>
          <w:rFonts w:cstheme="minorHAnsi"/>
        </w:rPr>
        <w:t xml:space="preserve">For more detailed information on developing, planning, implementing, and conducting surveillance for birth defects and using the resulting data, view the </w:t>
      </w:r>
      <w:r w:rsidRPr="00F825D4">
        <w:rPr>
          <w:rFonts w:cstheme="minorHAnsi"/>
          <w:b/>
        </w:rPr>
        <w:t>Birth Defects Surveillance Guidelines</w:t>
      </w:r>
      <w:r w:rsidRPr="00F825D4">
        <w:rPr>
          <w:rFonts w:cstheme="minorHAnsi"/>
        </w:rPr>
        <w:t xml:space="preserve"> at </w:t>
      </w:r>
      <w:hyperlink r:id="rId14" w:history="1">
        <w:r w:rsidRPr="00F825D4">
          <w:rPr>
            <w:rStyle w:val="Hyperlink"/>
            <w:rFonts w:cstheme="minorHAnsi"/>
          </w:rPr>
          <w:t>https://www.nbdpn.org/guidelines.php</w:t>
        </w:r>
      </w:hyperlink>
      <w:r w:rsidRPr="00F825D4">
        <w:rPr>
          <w:rFonts w:cstheme="minorHAnsi"/>
        </w:rPr>
        <w:t xml:space="preserve"> </w:t>
      </w:r>
    </w:p>
    <w:p w14:paraId="13FB25A2" w14:textId="77777777" w:rsidR="00F825D4" w:rsidRPr="00F825D4" w:rsidRDefault="00F825D4" w:rsidP="00053634">
      <w:pPr>
        <w:spacing w:after="0" w:line="240" w:lineRule="auto"/>
        <w:rPr>
          <w:rFonts w:cstheme="minorHAnsi"/>
        </w:rPr>
      </w:pPr>
    </w:p>
    <w:p w14:paraId="6C742A17" w14:textId="4703BAF1" w:rsidR="00A620BC" w:rsidRPr="00962C1C" w:rsidRDefault="001B5480" w:rsidP="00053634">
      <w:pPr>
        <w:pStyle w:val="ListParagraph"/>
        <w:numPr>
          <w:ilvl w:val="0"/>
          <w:numId w:val="21"/>
        </w:numPr>
        <w:spacing w:after="0" w:line="240" w:lineRule="auto"/>
        <w:ind w:left="1080" w:hanging="720"/>
        <w:rPr>
          <w:rStyle w:val="Hyperlink"/>
          <w:rFonts w:cstheme="minorHAnsi"/>
          <w:color w:val="auto"/>
          <w:u w:val="none"/>
        </w:rPr>
      </w:pPr>
      <w:r w:rsidRPr="00F825D4">
        <w:rPr>
          <w:rFonts w:cstheme="minorHAnsi"/>
        </w:rPr>
        <w:t xml:space="preserve">For more information on the transition from ICD-9-CM to ICD-10-CM, including a detailed </w:t>
      </w:r>
      <w:r w:rsidRPr="00F825D4">
        <w:rPr>
          <w:rFonts w:cstheme="minorHAnsi"/>
          <w:b/>
        </w:rPr>
        <w:t>list of anticipated changes</w:t>
      </w:r>
      <w:r w:rsidRPr="00F825D4">
        <w:rPr>
          <w:rFonts w:cstheme="minorHAnsi"/>
        </w:rPr>
        <w:t xml:space="preserve"> to the prevalence of the 47 NBDPN defects, code translations between the two systems, a timeline of updates to the ICD-10-CM made annually, and other resources, visit </w:t>
      </w:r>
      <w:hyperlink r:id="rId15" w:history="1">
        <w:r w:rsidRPr="00F825D4">
          <w:rPr>
            <w:rStyle w:val="Hyperlink"/>
            <w:rFonts w:cstheme="minorHAnsi"/>
          </w:rPr>
          <w:t>https://www.nbdpn.org/icd10.php</w:t>
        </w:r>
      </w:hyperlink>
    </w:p>
    <w:p w14:paraId="0A94BE92" w14:textId="77777777" w:rsidR="00E867EC" w:rsidRPr="00E867EC" w:rsidRDefault="00E867EC" w:rsidP="00962C1C">
      <w:pPr>
        <w:pStyle w:val="ListParagraph"/>
        <w:rPr>
          <w:rFonts w:cstheme="minorHAnsi"/>
        </w:rPr>
      </w:pPr>
    </w:p>
    <w:p w14:paraId="6DA9266A" w14:textId="69399BC9" w:rsidR="001B5480" w:rsidRPr="00574816" w:rsidRDefault="00BD6FDA" w:rsidP="00FE2EA1">
      <w:pPr>
        <w:pStyle w:val="ListParagraph"/>
        <w:numPr>
          <w:ilvl w:val="0"/>
          <w:numId w:val="1"/>
        </w:numPr>
        <w:spacing w:after="0" w:line="240" w:lineRule="auto"/>
        <w:rPr>
          <w:rFonts w:cstheme="minorHAnsi"/>
        </w:rPr>
      </w:pPr>
      <w:r w:rsidRPr="00FE2EA1">
        <w:rPr>
          <w:rFonts w:cstheme="minorHAnsi"/>
        </w:rPr>
        <w:t>A</w:t>
      </w:r>
      <w:r w:rsidR="00A25D04" w:rsidRPr="00FE2EA1">
        <w:rPr>
          <w:rFonts w:cstheme="minorHAnsi"/>
        </w:rPr>
        <w:t xml:space="preserve"> recent study </w:t>
      </w:r>
      <w:r w:rsidRPr="00FE2EA1">
        <w:rPr>
          <w:rFonts w:cstheme="minorHAnsi"/>
        </w:rPr>
        <w:t xml:space="preserve">has been published </w:t>
      </w:r>
      <w:r w:rsidR="00A25D04" w:rsidRPr="00FE2EA1">
        <w:rPr>
          <w:rFonts w:cstheme="minorHAnsi"/>
        </w:rPr>
        <w:t xml:space="preserve">examining the transition’s impact on the prevalence of birth defects using data from the Agency of Health Care Research and Quality-sponsored National Inpatient </w:t>
      </w:r>
      <w:r w:rsidR="00A25D04" w:rsidRPr="00574816">
        <w:rPr>
          <w:rFonts w:cstheme="minorHAnsi"/>
        </w:rPr>
        <w:t>Sample</w:t>
      </w:r>
      <w:r w:rsidRPr="00574816">
        <w:rPr>
          <w:rFonts w:cstheme="minorHAnsi"/>
        </w:rPr>
        <w:t>.</w:t>
      </w:r>
      <w:r w:rsidRPr="00574816" w:rsidDel="00BD6FDA">
        <w:rPr>
          <w:rFonts w:cstheme="minorHAnsi"/>
        </w:rPr>
        <w:t xml:space="preserve"> </w:t>
      </w:r>
      <w:hyperlink r:id="rId16" w:tooltip="Birth defects research." w:history="1">
        <w:r w:rsidR="00FE2EA1" w:rsidRPr="00574816">
          <w:rPr>
            <w:rFonts w:cstheme="minorHAnsi"/>
            <w:lang w:val="en"/>
          </w:rPr>
          <w:t>Birth Defects Res</w:t>
        </w:r>
        <w:r w:rsidR="00FE2EA1" w:rsidRPr="00574816">
          <w:rPr>
            <w:rFonts w:cstheme="minorHAnsi"/>
            <w:u w:val="single"/>
            <w:lang w:val="en"/>
          </w:rPr>
          <w:t>.</w:t>
        </w:r>
      </w:hyperlink>
      <w:r w:rsidR="00FE2EA1" w:rsidRPr="00574816">
        <w:rPr>
          <w:rFonts w:cstheme="minorHAnsi"/>
          <w:lang w:val="en"/>
        </w:rPr>
        <w:t xml:space="preserve"> 2019 Nov 1;111(18):1365-1379.</w:t>
      </w:r>
    </w:p>
    <w:p w14:paraId="621A6EE5" w14:textId="77777777" w:rsidR="00FE2EA1" w:rsidRPr="002834E3" w:rsidRDefault="00FE2EA1" w:rsidP="00FE2EA1">
      <w:pPr>
        <w:spacing w:after="0" w:line="240" w:lineRule="auto"/>
      </w:pPr>
    </w:p>
    <w:p w14:paraId="39625D71" w14:textId="32B69444" w:rsidR="002834E3" w:rsidRDefault="001B5480" w:rsidP="00FE2EA1">
      <w:pPr>
        <w:pStyle w:val="ListParagraph"/>
        <w:numPr>
          <w:ilvl w:val="0"/>
          <w:numId w:val="30"/>
        </w:numPr>
        <w:spacing w:after="0" w:line="240" w:lineRule="auto"/>
        <w:rPr>
          <w:rFonts w:cstheme="minorHAnsi"/>
          <w:b/>
        </w:rPr>
      </w:pPr>
      <w:r w:rsidRPr="000730B2">
        <w:rPr>
          <w:rFonts w:cstheme="minorHAnsi"/>
          <w:b/>
        </w:rPr>
        <w:t>Issues with Birth Defects Surveillance Data Following the Transition to ICD-10-CM Observed by Programs to Date:</w:t>
      </w:r>
    </w:p>
    <w:p w14:paraId="653EABD0" w14:textId="45856644" w:rsidR="00053634" w:rsidRDefault="00053634" w:rsidP="00053634">
      <w:pPr>
        <w:pStyle w:val="ListParagraph"/>
        <w:spacing w:after="0" w:line="240" w:lineRule="auto"/>
        <w:rPr>
          <w:rFonts w:cstheme="minorHAnsi"/>
          <w:b/>
        </w:rPr>
      </w:pPr>
    </w:p>
    <w:p w14:paraId="113A7CDF" w14:textId="65B240DF" w:rsidR="001B5480" w:rsidRPr="00E41FCA" w:rsidRDefault="001B5480" w:rsidP="00FE2EA1">
      <w:pPr>
        <w:pStyle w:val="ListParagraph"/>
        <w:numPr>
          <w:ilvl w:val="1"/>
          <w:numId w:val="30"/>
        </w:numPr>
        <w:spacing w:after="0" w:line="240" w:lineRule="auto"/>
        <w:ind w:left="1440"/>
        <w:rPr>
          <w:rFonts w:cstheme="minorHAnsi"/>
        </w:rPr>
      </w:pPr>
      <w:r w:rsidRPr="006E7264">
        <w:rPr>
          <w:rFonts w:cstheme="minorHAnsi"/>
        </w:rPr>
        <w:t xml:space="preserve">Healthcare Cost and Utilization </w:t>
      </w:r>
      <w:r w:rsidRPr="00E41FCA">
        <w:rPr>
          <w:rFonts w:cstheme="minorHAnsi"/>
        </w:rPr>
        <w:t>Project (HCUP) data</w:t>
      </w:r>
      <w:r w:rsidR="00E867EC">
        <w:rPr>
          <w:rFonts w:cstheme="minorHAnsi"/>
        </w:rPr>
        <w:t>:</w:t>
      </w:r>
    </w:p>
    <w:p w14:paraId="0A1A0F95" w14:textId="77777777" w:rsidR="00A1677D" w:rsidRDefault="001B5480" w:rsidP="00FE2EA1">
      <w:pPr>
        <w:pStyle w:val="ListParagraph"/>
        <w:numPr>
          <w:ilvl w:val="2"/>
          <w:numId w:val="30"/>
        </w:numPr>
        <w:spacing w:after="0" w:line="240" w:lineRule="auto"/>
        <w:ind w:left="2174" w:hanging="187"/>
        <w:rPr>
          <w:rFonts w:cstheme="minorHAnsi"/>
        </w:rPr>
      </w:pPr>
      <w:r w:rsidRPr="00A1677D">
        <w:rPr>
          <w:rFonts w:cstheme="minorHAnsi"/>
        </w:rPr>
        <w:t>Clubfoot showed a decrease immediately following the ICD-10-CM transition</w:t>
      </w:r>
    </w:p>
    <w:p w14:paraId="0EA8CE1B" w14:textId="681BB5CB" w:rsidR="001B5480" w:rsidRPr="00A1677D" w:rsidRDefault="001B5480" w:rsidP="00FE2EA1">
      <w:pPr>
        <w:pStyle w:val="ListParagraph"/>
        <w:numPr>
          <w:ilvl w:val="2"/>
          <w:numId w:val="30"/>
        </w:numPr>
        <w:spacing w:after="0" w:line="240" w:lineRule="auto"/>
        <w:ind w:left="2174" w:hanging="187"/>
        <w:rPr>
          <w:rFonts w:cstheme="minorHAnsi"/>
        </w:rPr>
      </w:pPr>
      <w:r w:rsidRPr="00A1677D">
        <w:rPr>
          <w:rFonts w:cstheme="minorHAnsi"/>
        </w:rPr>
        <w:t>Hypoplastic left heart syndrome showed an increase immediately following the ICD-10-CM transition</w:t>
      </w:r>
    </w:p>
    <w:p w14:paraId="7CF7AC22" w14:textId="6281CE40" w:rsidR="001B5480" w:rsidRPr="00E82560" w:rsidRDefault="001B5480" w:rsidP="00FE2EA1">
      <w:pPr>
        <w:pStyle w:val="ListParagraph"/>
        <w:numPr>
          <w:ilvl w:val="3"/>
          <w:numId w:val="30"/>
        </w:numPr>
        <w:spacing w:after="0" w:line="240" w:lineRule="auto"/>
        <w:ind w:left="2880"/>
        <w:rPr>
          <w:rFonts w:cstheme="minorHAnsi"/>
        </w:rPr>
      </w:pPr>
      <w:r w:rsidRPr="00E82560">
        <w:rPr>
          <w:rFonts w:cstheme="minorHAnsi"/>
        </w:rPr>
        <w:t xml:space="preserve">Possible explanation for these results </w:t>
      </w:r>
      <w:proofErr w:type="gramStart"/>
      <w:r w:rsidRPr="00E82560">
        <w:rPr>
          <w:rFonts w:cstheme="minorHAnsi"/>
        </w:rPr>
        <w:t>include</w:t>
      </w:r>
      <w:proofErr w:type="gramEnd"/>
      <w:r w:rsidRPr="00E82560">
        <w:rPr>
          <w:rFonts w:cstheme="minorHAnsi"/>
        </w:rPr>
        <w:t xml:space="preserve">: </w:t>
      </w:r>
    </w:p>
    <w:p w14:paraId="44939BBF" w14:textId="77777777" w:rsidR="001B5480" w:rsidRPr="0055725A" w:rsidRDefault="001B5480" w:rsidP="00FE2EA1">
      <w:pPr>
        <w:pStyle w:val="ListParagraph"/>
        <w:numPr>
          <w:ilvl w:val="4"/>
          <w:numId w:val="30"/>
        </w:numPr>
        <w:spacing w:after="0" w:line="240" w:lineRule="auto"/>
        <w:ind w:left="3600"/>
        <w:rPr>
          <w:rFonts w:cstheme="minorHAnsi"/>
        </w:rPr>
      </w:pPr>
      <w:r w:rsidRPr="00E82560">
        <w:rPr>
          <w:rFonts w:cstheme="minorHAnsi"/>
        </w:rPr>
        <w:t xml:space="preserve">Hospital coders may not yet be familiar with ICD-10-CM; a longer time period may be needed to evaluate whether the increase persists </w:t>
      </w:r>
    </w:p>
    <w:p w14:paraId="61B494C1" w14:textId="77777777" w:rsidR="00A1677D" w:rsidRDefault="001B5480" w:rsidP="00FE2EA1">
      <w:pPr>
        <w:pStyle w:val="ListParagraph"/>
        <w:numPr>
          <w:ilvl w:val="4"/>
          <w:numId w:val="30"/>
        </w:numPr>
        <w:spacing w:after="0" w:line="240" w:lineRule="auto"/>
        <w:ind w:left="3600"/>
        <w:rPr>
          <w:rFonts w:cstheme="minorHAnsi"/>
        </w:rPr>
      </w:pPr>
      <w:r w:rsidRPr="00A1677D">
        <w:rPr>
          <w:rFonts w:cstheme="minorHAnsi"/>
        </w:rPr>
        <w:t>The prevalence of hypoplastic left heart syndrome usually increases in October; seasonal variation in certain defects might cause an apparent increase immediately following the ICD-10-CM transition</w:t>
      </w:r>
    </w:p>
    <w:p w14:paraId="18BD9BBE" w14:textId="036F58F6" w:rsidR="001B5480" w:rsidRPr="00A1677D" w:rsidRDefault="001B5480" w:rsidP="00FE2EA1">
      <w:pPr>
        <w:pStyle w:val="ListParagraph"/>
        <w:numPr>
          <w:ilvl w:val="4"/>
          <w:numId w:val="30"/>
        </w:numPr>
        <w:spacing w:after="0" w:line="240" w:lineRule="auto"/>
        <w:ind w:left="3600"/>
        <w:rPr>
          <w:rFonts w:cstheme="minorHAnsi"/>
        </w:rPr>
      </w:pPr>
      <w:r w:rsidRPr="00A1677D">
        <w:rPr>
          <w:rFonts w:cstheme="minorHAnsi"/>
        </w:rPr>
        <w:t>Increased prevalence in the fall of the year might also be due to the end of the government fiscal year affecting Medicaid funding for health care</w:t>
      </w:r>
    </w:p>
    <w:p w14:paraId="3D0C8FE1" w14:textId="77777777" w:rsidR="001B5480" w:rsidRPr="000730B2" w:rsidRDefault="001B5480" w:rsidP="00FE2EA1">
      <w:pPr>
        <w:pStyle w:val="ListParagraph"/>
        <w:numPr>
          <w:ilvl w:val="1"/>
          <w:numId w:val="30"/>
        </w:numPr>
        <w:spacing w:after="0" w:line="240" w:lineRule="auto"/>
        <w:ind w:left="1440"/>
        <w:rPr>
          <w:rFonts w:cstheme="minorHAnsi"/>
        </w:rPr>
      </w:pPr>
      <w:r w:rsidRPr="000730B2">
        <w:rPr>
          <w:rFonts w:cstheme="minorHAnsi"/>
        </w:rPr>
        <w:t>Medicaid data:</w:t>
      </w:r>
    </w:p>
    <w:p w14:paraId="25F88BFF" w14:textId="77777777" w:rsidR="001B5480" w:rsidRPr="000730B2" w:rsidRDefault="001B5480" w:rsidP="00FE2EA1">
      <w:pPr>
        <w:pStyle w:val="ListParagraph"/>
        <w:numPr>
          <w:ilvl w:val="2"/>
          <w:numId w:val="30"/>
        </w:numPr>
        <w:spacing w:after="0" w:line="240" w:lineRule="auto"/>
        <w:ind w:left="2174" w:hanging="187"/>
        <w:rPr>
          <w:rFonts w:cstheme="minorHAnsi"/>
        </w:rPr>
      </w:pPr>
      <w:r w:rsidRPr="000730B2">
        <w:rPr>
          <w:rFonts w:cstheme="minorHAnsi"/>
        </w:rPr>
        <w:t>There was a very noticeable decrease for Ventricular Septal Defect (VSD) in the 4</w:t>
      </w:r>
      <w:r w:rsidRPr="000730B2">
        <w:rPr>
          <w:rFonts w:cstheme="minorHAnsi"/>
          <w:vertAlign w:val="superscript"/>
        </w:rPr>
        <w:t>th</w:t>
      </w:r>
      <w:r w:rsidRPr="000730B2">
        <w:rPr>
          <w:rFonts w:cstheme="minorHAnsi"/>
        </w:rPr>
        <w:t xml:space="preserve"> quarter of 2015, followed by an upward trend in the numbers in 2016</w:t>
      </w:r>
    </w:p>
    <w:p w14:paraId="4B1F86A2" w14:textId="77777777" w:rsidR="001B5480" w:rsidRPr="000730B2" w:rsidRDefault="001B5480" w:rsidP="00FE2EA1">
      <w:pPr>
        <w:pStyle w:val="ListParagraph"/>
        <w:numPr>
          <w:ilvl w:val="1"/>
          <w:numId w:val="30"/>
        </w:numPr>
        <w:spacing w:after="0" w:line="240" w:lineRule="auto"/>
        <w:ind w:left="1440"/>
        <w:rPr>
          <w:rFonts w:cstheme="minorHAnsi"/>
        </w:rPr>
      </w:pPr>
      <w:r w:rsidRPr="000730B2">
        <w:rPr>
          <w:rFonts w:cstheme="minorHAnsi"/>
        </w:rPr>
        <w:t>State surveillance data:</w:t>
      </w:r>
    </w:p>
    <w:p w14:paraId="137CDC41" w14:textId="1C33950B" w:rsidR="001B5480" w:rsidRPr="000730B2" w:rsidRDefault="001B5480" w:rsidP="00FE2EA1">
      <w:pPr>
        <w:pStyle w:val="ListParagraph"/>
        <w:numPr>
          <w:ilvl w:val="2"/>
          <w:numId w:val="30"/>
        </w:numPr>
        <w:spacing w:after="0" w:line="240" w:lineRule="auto"/>
        <w:ind w:left="2174" w:hanging="187"/>
        <w:rPr>
          <w:rFonts w:cstheme="minorHAnsi"/>
        </w:rPr>
      </w:pPr>
      <w:r w:rsidRPr="000730B2">
        <w:rPr>
          <w:rFonts w:cstheme="minorHAnsi"/>
        </w:rPr>
        <w:t>One state observed a drop in the total number of potential cases identified for review in 2015 compared to 2014. This was specific to certain conditions, including several cardiac conditions (e.g., Atrial Septal Defect (ASD), VSD). The decrease resolved and the numbers went back up again for 2016.</w:t>
      </w:r>
    </w:p>
    <w:p w14:paraId="381A7691" w14:textId="77777777" w:rsidR="001B5480" w:rsidRPr="000730B2" w:rsidRDefault="001B5480" w:rsidP="00FE2EA1">
      <w:pPr>
        <w:pStyle w:val="ListParagraph"/>
        <w:numPr>
          <w:ilvl w:val="3"/>
          <w:numId w:val="30"/>
        </w:numPr>
        <w:spacing w:after="0" w:line="240" w:lineRule="auto"/>
        <w:ind w:left="2880"/>
        <w:rPr>
          <w:rFonts w:cstheme="minorHAnsi"/>
        </w:rPr>
      </w:pPr>
      <w:r w:rsidRPr="000730B2">
        <w:rPr>
          <w:rFonts w:cstheme="minorHAnsi"/>
        </w:rPr>
        <w:t xml:space="preserve">A possible explanation might be that this was related to the adoption of electronic medical records by the data sources which also happened in 2015 </w:t>
      </w:r>
    </w:p>
    <w:p w14:paraId="6A43610E" w14:textId="77777777" w:rsidR="001B5480" w:rsidRPr="000730B2" w:rsidRDefault="001B5480" w:rsidP="00FE2EA1">
      <w:pPr>
        <w:pStyle w:val="ListParagraph"/>
        <w:numPr>
          <w:ilvl w:val="2"/>
          <w:numId w:val="30"/>
        </w:numPr>
        <w:spacing w:after="0" w:line="240" w:lineRule="auto"/>
        <w:ind w:left="2174" w:hanging="187"/>
        <w:rPr>
          <w:rFonts w:cstheme="minorHAnsi"/>
        </w:rPr>
      </w:pPr>
      <w:r w:rsidRPr="000730B2">
        <w:rPr>
          <w:rFonts w:cstheme="minorHAnsi"/>
        </w:rPr>
        <w:t xml:space="preserve">Biliary atresia showed more than a 2-fold increase in prevalence following the ICD-10-CM transition </w:t>
      </w:r>
    </w:p>
    <w:p w14:paraId="35EF41C2" w14:textId="77777777" w:rsidR="001B5480" w:rsidRPr="000730B2" w:rsidRDefault="001B5480" w:rsidP="00FE2EA1">
      <w:pPr>
        <w:pStyle w:val="ListParagraph"/>
        <w:numPr>
          <w:ilvl w:val="3"/>
          <w:numId w:val="30"/>
        </w:numPr>
        <w:spacing w:after="0" w:line="240" w:lineRule="auto"/>
        <w:ind w:left="2880"/>
        <w:rPr>
          <w:rFonts w:cstheme="minorHAnsi"/>
        </w:rPr>
      </w:pPr>
      <w:r w:rsidRPr="000730B2">
        <w:rPr>
          <w:rFonts w:cstheme="minorHAnsi"/>
        </w:rPr>
        <w:t>This has been observed in multiple data sets</w:t>
      </w:r>
    </w:p>
    <w:p w14:paraId="36BA89FE" w14:textId="7F537690" w:rsidR="001B5480" w:rsidRPr="00E82560" w:rsidRDefault="001B5480" w:rsidP="00FE2EA1">
      <w:pPr>
        <w:pStyle w:val="ListParagraph"/>
        <w:numPr>
          <w:ilvl w:val="3"/>
          <w:numId w:val="30"/>
        </w:numPr>
        <w:spacing w:after="0" w:line="240" w:lineRule="auto"/>
        <w:ind w:left="2880"/>
        <w:rPr>
          <w:rFonts w:cstheme="minorHAnsi"/>
        </w:rPr>
      </w:pPr>
      <w:r w:rsidRPr="000730B2">
        <w:rPr>
          <w:rFonts w:cstheme="minorHAnsi"/>
        </w:rPr>
        <w:lastRenderedPageBreak/>
        <w:t xml:space="preserve">One possible explanation is that hospitals are using computer-assisted coding and that this was not set up correctly for biliary atresia </w:t>
      </w:r>
      <w:r w:rsidR="00E82560">
        <w:rPr>
          <w:rFonts w:cstheme="minorHAnsi"/>
        </w:rPr>
        <w:t>in</w:t>
      </w:r>
      <w:r w:rsidRPr="00E82560">
        <w:rPr>
          <w:rFonts w:cstheme="minorHAnsi"/>
        </w:rPr>
        <w:t xml:space="preserve"> ICD-10-CM so additional conditions </w:t>
      </w:r>
      <w:r w:rsidR="00E82560">
        <w:rPr>
          <w:rFonts w:cstheme="minorHAnsi"/>
        </w:rPr>
        <w:t>may be</w:t>
      </w:r>
      <w:r w:rsidRPr="00E82560">
        <w:rPr>
          <w:rFonts w:cstheme="minorHAnsi"/>
        </w:rPr>
        <w:t xml:space="preserve"> included under the biliary atresia codes</w:t>
      </w:r>
    </w:p>
    <w:p w14:paraId="2D4C98EF" w14:textId="68860DCD" w:rsidR="001B5480" w:rsidRPr="0055725A" w:rsidRDefault="001B5480" w:rsidP="00FE2EA1">
      <w:pPr>
        <w:pStyle w:val="ListParagraph"/>
        <w:numPr>
          <w:ilvl w:val="2"/>
          <w:numId w:val="30"/>
        </w:numPr>
        <w:spacing w:after="0" w:line="240" w:lineRule="auto"/>
        <w:ind w:left="2174" w:hanging="187"/>
        <w:rPr>
          <w:rFonts w:cstheme="minorHAnsi"/>
        </w:rPr>
      </w:pPr>
      <w:r w:rsidRPr="00E82560">
        <w:rPr>
          <w:rFonts w:cstheme="minorHAnsi"/>
        </w:rPr>
        <w:t>One state observed an increase in the total number of potential limb defect cases with the transition to ICD-10-CM</w:t>
      </w:r>
      <w:r w:rsidR="00962C1C">
        <w:rPr>
          <w:rFonts w:cstheme="minorHAnsi"/>
        </w:rPr>
        <w:t>;</w:t>
      </w:r>
      <w:r w:rsidRPr="00E82560">
        <w:rPr>
          <w:rFonts w:cstheme="minorHAnsi"/>
        </w:rPr>
        <w:t xml:space="preserve"> but </w:t>
      </w:r>
      <w:r w:rsidR="00032BD7">
        <w:rPr>
          <w:rFonts w:cstheme="minorHAnsi"/>
        </w:rPr>
        <w:t xml:space="preserve">once </w:t>
      </w:r>
      <w:r w:rsidR="00DF7CC3">
        <w:rPr>
          <w:rFonts w:cstheme="minorHAnsi"/>
        </w:rPr>
        <w:t>the</w:t>
      </w:r>
      <w:r w:rsidR="00962C1C">
        <w:rPr>
          <w:rFonts w:cstheme="minorHAnsi"/>
        </w:rPr>
        <w:t xml:space="preserve"> cas</w:t>
      </w:r>
      <w:r w:rsidR="00DF7CC3">
        <w:rPr>
          <w:rFonts w:cstheme="minorHAnsi"/>
        </w:rPr>
        <w:t>e</w:t>
      </w:r>
      <w:r w:rsidR="00962C1C">
        <w:rPr>
          <w:rFonts w:cstheme="minorHAnsi"/>
        </w:rPr>
        <w:t>s</w:t>
      </w:r>
      <w:r w:rsidR="00DF7CC3">
        <w:rPr>
          <w:rFonts w:cstheme="minorHAnsi"/>
        </w:rPr>
        <w:t xml:space="preserve"> </w:t>
      </w:r>
      <w:r w:rsidR="00962C1C">
        <w:rPr>
          <w:rFonts w:cstheme="minorHAnsi"/>
        </w:rPr>
        <w:t>were</w:t>
      </w:r>
      <w:r w:rsidR="00DF7CC3">
        <w:rPr>
          <w:rFonts w:cstheme="minorHAnsi"/>
        </w:rPr>
        <w:t xml:space="preserve"> </w:t>
      </w:r>
      <w:r w:rsidR="00032BD7">
        <w:rPr>
          <w:rFonts w:cstheme="minorHAnsi"/>
        </w:rPr>
        <w:t xml:space="preserve">reviewed, </w:t>
      </w:r>
      <w:r w:rsidRPr="00E82560">
        <w:rPr>
          <w:rFonts w:cstheme="minorHAnsi"/>
        </w:rPr>
        <w:t xml:space="preserve">the number of </w:t>
      </w:r>
      <w:r w:rsidR="00032BD7">
        <w:rPr>
          <w:rFonts w:cstheme="minorHAnsi"/>
        </w:rPr>
        <w:t xml:space="preserve">a subset of </w:t>
      </w:r>
      <w:r w:rsidR="00DF7CC3">
        <w:rPr>
          <w:rFonts w:cstheme="minorHAnsi"/>
        </w:rPr>
        <w:t xml:space="preserve">confirmed </w:t>
      </w:r>
      <w:r w:rsidR="00032BD7">
        <w:rPr>
          <w:rFonts w:cstheme="minorHAnsi"/>
        </w:rPr>
        <w:t xml:space="preserve">limb reduction defects was </w:t>
      </w:r>
      <w:proofErr w:type="gramStart"/>
      <w:r w:rsidR="00962C1C">
        <w:rPr>
          <w:rFonts w:cstheme="minorHAnsi"/>
        </w:rPr>
        <w:t xml:space="preserve">actually </w:t>
      </w:r>
      <w:r w:rsidR="00032BD7">
        <w:rPr>
          <w:rFonts w:cstheme="minorHAnsi"/>
        </w:rPr>
        <w:t>lower</w:t>
      </w:r>
      <w:proofErr w:type="gramEnd"/>
      <w:r w:rsidRPr="00E82560">
        <w:rPr>
          <w:rFonts w:cstheme="minorHAnsi"/>
        </w:rPr>
        <w:t xml:space="preserve"> </w:t>
      </w:r>
      <w:r w:rsidR="00DF7CC3">
        <w:rPr>
          <w:rFonts w:cstheme="minorHAnsi"/>
        </w:rPr>
        <w:t xml:space="preserve">than reported before the transition </w:t>
      </w:r>
    </w:p>
    <w:p w14:paraId="6E93E37C" w14:textId="77777777" w:rsidR="001B5480" w:rsidRPr="00155898" w:rsidRDefault="001B5480" w:rsidP="00FE2EA1">
      <w:pPr>
        <w:pStyle w:val="ListParagraph"/>
        <w:numPr>
          <w:ilvl w:val="2"/>
          <w:numId w:val="30"/>
        </w:numPr>
        <w:spacing w:after="0" w:line="240" w:lineRule="auto"/>
        <w:ind w:left="2174" w:hanging="187"/>
        <w:rPr>
          <w:rFonts w:cstheme="minorHAnsi"/>
        </w:rPr>
      </w:pPr>
      <w:r w:rsidRPr="00D30BBF">
        <w:rPr>
          <w:rFonts w:cstheme="minorHAnsi"/>
        </w:rPr>
        <w:t xml:space="preserve">Other unexpected changes observed in state data include: </w:t>
      </w:r>
    </w:p>
    <w:p w14:paraId="3A8B0402" w14:textId="77777777" w:rsidR="001B5480" w:rsidRPr="00B05A9E" w:rsidRDefault="001B5480" w:rsidP="00FE2EA1">
      <w:pPr>
        <w:pStyle w:val="ListParagraph"/>
        <w:numPr>
          <w:ilvl w:val="3"/>
          <w:numId w:val="30"/>
        </w:numPr>
        <w:spacing w:after="0" w:line="240" w:lineRule="auto"/>
        <w:ind w:left="2880"/>
        <w:rPr>
          <w:rFonts w:cstheme="minorHAnsi"/>
        </w:rPr>
      </w:pPr>
      <w:r w:rsidRPr="00155898">
        <w:rPr>
          <w:rFonts w:cstheme="minorHAnsi"/>
        </w:rPr>
        <w:t>Bladder exstrophy (increase)</w:t>
      </w:r>
    </w:p>
    <w:p w14:paraId="79CBD903" w14:textId="77777777" w:rsidR="00E64198" w:rsidRDefault="001B5480" w:rsidP="00FE2EA1">
      <w:pPr>
        <w:pStyle w:val="ListParagraph"/>
        <w:numPr>
          <w:ilvl w:val="3"/>
          <w:numId w:val="30"/>
        </w:numPr>
        <w:spacing w:after="0" w:line="240" w:lineRule="auto"/>
        <w:ind w:left="2880"/>
        <w:rPr>
          <w:rFonts w:cstheme="minorHAnsi"/>
        </w:rPr>
      </w:pPr>
      <w:r w:rsidRPr="00E64198">
        <w:rPr>
          <w:rFonts w:cstheme="minorHAnsi"/>
        </w:rPr>
        <w:t>Small intestinal atresia (decrease)</w:t>
      </w:r>
    </w:p>
    <w:p w14:paraId="56C0C9E6" w14:textId="77777777" w:rsidR="00E64198" w:rsidRDefault="001B5480" w:rsidP="00FE2EA1">
      <w:pPr>
        <w:pStyle w:val="ListParagraph"/>
        <w:numPr>
          <w:ilvl w:val="3"/>
          <w:numId w:val="30"/>
        </w:numPr>
        <w:spacing w:after="0" w:line="240" w:lineRule="auto"/>
        <w:ind w:left="2880"/>
        <w:rPr>
          <w:rFonts w:cstheme="minorHAnsi"/>
        </w:rPr>
      </w:pPr>
      <w:r w:rsidRPr="00E64198">
        <w:rPr>
          <w:rFonts w:cstheme="minorHAnsi"/>
        </w:rPr>
        <w:t>Hypospadias (decrease)</w:t>
      </w:r>
    </w:p>
    <w:p w14:paraId="7A38C6D7" w14:textId="77777777" w:rsidR="00E64198" w:rsidRDefault="001B5480" w:rsidP="00FE2EA1">
      <w:pPr>
        <w:pStyle w:val="ListParagraph"/>
        <w:numPr>
          <w:ilvl w:val="3"/>
          <w:numId w:val="30"/>
        </w:numPr>
        <w:spacing w:after="0" w:line="240" w:lineRule="auto"/>
        <w:ind w:left="2880"/>
        <w:rPr>
          <w:rFonts w:cstheme="minorHAnsi"/>
        </w:rPr>
      </w:pPr>
      <w:r w:rsidRPr="00E64198">
        <w:rPr>
          <w:rFonts w:cstheme="minorHAnsi"/>
        </w:rPr>
        <w:t>Hypoplastic left heart syndrome (decrease)</w:t>
      </w:r>
    </w:p>
    <w:p w14:paraId="6F316D6C" w14:textId="77777777" w:rsidR="00E64198" w:rsidRDefault="001B5480" w:rsidP="00FE2EA1">
      <w:pPr>
        <w:pStyle w:val="ListParagraph"/>
        <w:numPr>
          <w:ilvl w:val="3"/>
          <w:numId w:val="30"/>
        </w:numPr>
        <w:spacing w:after="0" w:line="240" w:lineRule="auto"/>
        <w:ind w:left="2880"/>
        <w:rPr>
          <w:rFonts w:cstheme="minorHAnsi"/>
        </w:rPr>
      </w:pPr>
      <w:r w:rsidRPr="00E64198">
        <w:rPr>
          <w:rFonts w:cstheme="minorHAnsi"/>
        </w:rPr>
        <w:t>Cleft lip with cleft palate (decrease)</w:t>
      </w:r>
    </w:p>
    <w:p w14:paraId="2EB7DC37" w14:textId="329DEA47" w:rsidR="001B5480" w:rsidRPr="00E64198" w:rsidRDefault="001B5480" w:rsidP="00FE2EA1">
      <w:pPr>
        <w:pStyle w:val="ListParagraph"/>
        <w:numPr>
          <w:ilvl w:val="3"/>
          <w:numId w:val="30"/>
        </w:numPr>
        <w:spacing w:after="0" w:line="240" w:lineRule="auto"/>
        <w:ind w:left="2880"/>
        <w:rPr>
          <w:rFonts w:cstheme="minorHAnsi"/>
        </w:rPr>
      </w:pPr>
      <w:r w:rsidRPr="00E64198">
        <w:rPr>
          <w:rFonts w:cstheme="minorHAnsi"/>
        </w:rPr>
        <w:t>Possible explanations for these unexpected results include:</w:t>
      </w:r>
    </w:p>
    <w:p w14:paraId="5E87E8D8" w14:textId="77777777" w:rsidR="001B5480" w:rsidRPr="000730B2" w:rsidRDefault="001B5480" w:rsidP="00FE2EA1">
      <w:pPr>
        <w:pStyle w:val="ListParagraph"/>
        <w:numPr>
          <w:ilvl w:val="4"/>
          <w:numId w:val="30"/>
        </w:numPr>
        <w:spacing w:after="0" w:line="240" w:lineRule="auto"/>
        <w:ind w:left="3600"/>
        <w:rPr>
          <w:rFonts w:cstheme="minorHAnsi"/>
        </w:rPr>
      </w:pPr>
      <w:r w:rsidRPr="000730B2">
        <w:rPr>
          <w:rFonts w:cstheme="minorHAnsi"/>
        </w:rPr>
        <w:t>Some hospitals may be delayed in reporting due to the ICD-10-CM transition</w:t>
      </w:r>
    </w:p>
    <w:p w14:paraId="1EFC8F85" w14:textId="77777777" w:rsidR="001B5480" w:rsidRPr="000730B2" w:rsidRDefault="001B5480" w:rsidP="00FE2EA1">
      <w:pPr>
        <w:pStyle w:val="ListParagraph"/>
        <w:numPr>
          <w:ilvl w:val="4"/>
          <w:numId w:val="30"/>
        </w:numPr>
        <w:spacing w:after="0" w:line="240" w:lineRule="auto"/>
        <w:ind w:left="3600"/>
        <w:rPr>
          <w:rFonts w:cstheme="minorHAnsi"/>
        </w:rPr>
      </w:pPr>
      <w:r w:rsidRPr="000730B2">
        <w:rPr>
          <w:rFonts w:cstheme="minorHAnsi"/>
        </w:rPr>
        <w:t xml:space="preserve">Hospitals may still be learning how to code in ICD-10-CM; the observed changes may be due to their lack of experience </w:t>
      </w:r>
    </w:p>
    <w:p w14:paraId="5A1AAE1E" w14:textId="3FF86A20" w:rsidR="001B5480" w:rsidRPr="000730B2" w:rsidRDefault="001B5480" w:rsidP="00FE2EA1">
      <w:pPr>
        <w:pStyle w:val="ListParagraph"/>
        <w:numPr>
          <w:ilvl w:val="1"/>
          <w:numId w:val="30"/>
        </w:numPr>
        <w:spacing w:after="0" w:line="240" w:lineRule="auto"/>
        <w:ind w:left="1440"/>
        <w:rPr>
          <w:rFonts w:cstheme="minorHAnsi"/>
        </w:rPr>
      </w:pPr>
      <w:r w:rsidRPr="000730B2">
        <w:rPr>
          <w:rFonts w:cstheme="minorHAnsi"/>
        </w:rPr>
        <w:t>Some of the changes may result from variability due to small numbers of cases for rare defects (e.g., bladder exstrophy)</w:t>
      </w:r>
    </w:p>
    <w:p w14:paraId="4C9695B5" w14:textId="77777777" w:rsidR="001B5480" w:rsidRPr="000730B2" w:rsidRDefault="001B5480" w:rsidP="00FE2EA1">
      <w:pPr>
        <w:pStyle w:val="ListParagraph"/>
        <w:numPr>
          <w:ilvl w:val="1"/>
          <w:numId w:val="30"/>
        </w:numPr>
        <w:spacing w:after="0" w:line="240" w:lineRule="auto"/>
        <w:ind w:left="1440"/>
        <w:rPr>
          <w:rFonts w:cstheme="minorHAnsi"/>
        </w:rPr>
      </w:pPr>
      <w:bookmarkStart w:id="3" w:name="_Hlk19198940"/>
      <w:bookmarkEnd w:id="3"/>
      <w:r w:rsidRPr="000730B2">
        <w:rPr>
          <w:rFonts w:cstheme="minorHAnsi"/>
        </w:rPr>
        <w:t>Some state programs have noticed that hospital staff are coding differently in ICD-10-CM than they were in ICD-9-CM</w:t>
      </w:r>
    </w:p>
    <w:p w14:paraId="47FA0E4E" w14:textId="5F33CA9A" w:rsidR="001B5480" w:rsidRPr="00E82560" w:rsidRDefault="00E82560" w:rsidP="00FE2EA1">
      <w:pPr>
        <w:pStyle w:val="ListParagraph"/>
        <w:numPr>
          <w:ilvl w:val="1"/>
          <w:numId w:val="30"/>
        </w:numPr>
        <w:spacing w:after="0" w:line="240" w:lineRule="auto"/>
        <w:ind w:left="1440"/>
        <w:rPr>
          <w:rFonts w:cstheme="minorHAnsi"/>
        </w:rPr>
      </w:pPr>
      <w:r>
        <w:rPr>
          <w:rFonts w:cstheme="minorHAnsi"/>
        </w:rPr>
        <w:t>Not Otherwise Specified (</w:t>
      </w:r>
      <w:r w:rsidR="001B5480" w:rsidRPr="00E82560">
        <w:rPr>
          <w:rFonts w:cstheme="minorHAnsi"/>
        </w:rPr>
        <w:t>NOS</w:t>
      </w:r>
      <w:r>
        <w:rPr>
          <w:rFonts w:cstheme="minorHAnsi"/>
        </w:rPr>
        <w:t>)</w:t>
      </w:r>
      <w:r w:rsidR="001B5480" w:rsidRPr="00E82560">
        <w:rPr>
          <w:rFonts w:cstheme="minorHAnsi"/>
        </w:rPr>
        <w:t xml:space="preserve"> codes are being used more frequently in ICD-10-CM</w:t>
      </w:r>
    </w:p>
    <w:p w14:paraId="5F03A019" w14:textId="77777777" w:rsidR="001B5480" w:rsidRPr="00D30BBF" w:rsidRDefault="001B5480" w:rsidP="00FE2EA1">
      <w:pPr>
        <w:pStyle w:val="ListParagraph"/>
        <w:numPr>
          <w:ilvl w:val="1"/>
          <w:numId w:val="30"/>
        </w:numPr>
        <w:spacing w:after="0" w:line="240" w:lineRule="auto"/>
        <w:ind w:left="1440"/>
        <w:rPr>
          <w:rFonts w:cstheme="minorHAnsi"/>
        </w:rPr>
      </w:pPr>
      <w:r w:rsidRPr="0055725A">
        <w:rPr>
          <w:rFonts w:cstheme="minorHAnsi"/>
        </w:rPr>
        <w:t xml:space="preserve">In some instances, the increased specificity and complexity of the ICD-10-CM codes seem to have contributed to coding errors rather than improving the situation </w:t>
      </w:r>
    </w:p>
    <w:p w14:paraId="2921D027" w14:textId="77777777" w:rsidR="001B5480" w:rsidRPr="00314AA3" w:rsidRDefault="001B5480" w:rsidP="00053634">
      <w:pPr>
        <w:pStyle w:val="ListParagraph"/>
        <w:spacing w:after="0" w:line="240" w:lineRule="auto"/>
        <w:ind w:left="2160"/>
        <w:rPr>
          <w:rFonts w:cstheme="minorHAnsi"/>
        </w:rPr>
      </w:pPr>
    </w:p>
    <w:p w14:paraId="72D5378C" w14:textId="77777777" w:rsidR="001B4BFA" w:rsidRPr="001B5480" w:rsidRDefault="001B4BFA" w:rsidP="00053634">
      <w:pPr>
        <w:spacing w:after="0" w:line="240" w:lineRule="auto"/>
        <w:ind w:left="1080"/>
        <w:rPr>
          <w:rFonts w:ascii="Calibri Light" w:eastAsia="Times New Roman" w:hAnsi="Calibri Light" w:cs="Times New Roman"/>
          <w:b/>
          <w:color w:val="2E74B5"/>
          <w:sz w:val="26"/>
          <w:szCs w:val="26"/>
        </w:rPr>
      </w:pPr>
    </w:p>
    <w:sectPr w:rsidR="001B4BFA" w:rsidRPr="001B5480">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0B855" w14:textId="77777777" w:rsidR="009F2C6F" w:rsidRDefault="009F2C6F" w:rsidP="00FE4CB5">
      <w:pPr>
        <w:spacing w:after="0" w:line="240" w:lineRule="auto"/>
      </w:pPr>
      <w:r>
        <w:separator/>
      </w:r>
    </w:p>
  </w:endnote>
  <w:endnote w:type="continuationSeparator" w:id="0">
    <w:p w14:paraId="3766AB71" w14:textId="77777777" w:rsidR="009F2C6F" w:rsidRDefault="009F2C6F" w:rsidP="00FE4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2889361"/>
      <w:docPartObj>
        <w:docPartGallery w:val="Page Numbers (Bottom of Page)"/>
        <w:docPartUnique/>
      </w:docPartObj>
    </w:sdtPr>
    <w:sdtEndPr>
      <w:rPr>
        <w:noProof/>
      </w:rPr>
    </w:sdtEndPr>
    <w:sdtContent>
      <w:p w14:paraId="316010B0" w14:textId="0EA1EA7F" w:rsidR="00B35D9F" w:rsidRDefault="00B35D9F">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4D6CF9E4" w14:textId="77777777" w:rsidR="00B35D9F" w:rsidRDefault="00B35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88891" w14:textId="77777777" w:rsidR="009F2C6F" w:rsidRDefault="009F2C6F" w:rsidP="00FE4CB5">
      <w:pPr>
        <w:spacing w:after="0" w:line="240" w:lineRule="auto"/>
      </w:pPr>
      <w:r>
        <w:separator/>
      </w:r>
    </w:p>
  </w:footnote>
  <w:footnote w:type="continuationSeparator" w:id="0">
    <w:p w14:paraId="61D63101" w14:textId="77777777" w:rsidR="009F2C6F" w:rsidRDefault="009F2C6F" w:rsidP="00FE4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043F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780A89"/>
    <w:multiLevelType w:val="multilevel"/>
    <w:tmpl w:val="78164D80"/>
    <w:lvl w:ilvl="0">
      <w:start w:val="1"/>
      <w:numFmt w:val="decimal"/>
      <w:lvlText w:val="%1)"/>
      <w:lvlJc w:val="left"/>
      <w:pPr>
        <w:ind w:left="720" w:hanging="360"/>
      </w:pPr>
      <w:rPr>
        <w:rFonts w:ascii="Calibri" w:hAnsi="Calibri" w:cs="Calibri" w:hint="default"/>
        <w:color w:val="auto"/>
        <w:sz w:val="22"/>
        <w:szCs w:val="22"/>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A25565D"/>
    <w:multiLevelType w:val="multilevel"/>
    <w:tmpl w:val="0409001D"/>
    <w:lvl w:ilvl="0">
      <w:start w:val="1"/>
      <w:numFmt w:val="decimal"/>
      <w:lvlText w:val="%1)"/>
      <w:lvlJc w:val="left"/>
      <w:pPr>
        <w:ind w:left="360" w:hanging="360"/>
      </w:pPr>
      <w:rPr>
        <w:rFonts w:hint="default"/>
        <w:color w:val="auto"/>
        <w:sz w:val="24"/>
        <w:szCs w:val="24"/>
      </w:rPr>
    </w:lvl>
    <w:lvl w:ilvl="1">
      <w:start w:val="1"/>
      <w:numFmt w:val="lowerLetter"/>
      <w:lvlText w:val="%2)"/>
      <w:lvlJc w:val="left"/>
      <w:pPr>
        <w:ind w:left="720" w:hanging="360"/>
      </w:pPr>
      <w:rPr>
        <w:rFonts w:hint="default"/>
        <w:color w:val="auto"/>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480299"/>
    <w:multiLevelType w:val="hybridMultilevel"/>
    <w:tmpl w:val="B9A69D2C"/>
    <w:lvl w:ilvl="0" w:tplc="EEBAE43E">
      <w:start w:val="3"/>
      <w:numFmt w:val="decimal"/>
      <w:lvlText w:val="%1)"/>
      <w:lvlJc w:val="left"/>
      <w:pPr>
        <w:ind w:left="720" w:hanging="360"/>
      </w:pPr>
      <w:rPr>
        <w:rFonts w:hint="default"/>
      </w:rPr>
    </w:lvl>
    <w:lvl w:ilvl="1" w:tplc="08B66D78">
      <w:start w:val="1"/>
      <w:numFmt w:val="decimal"/>
      <w:lvlText w:val="%2)"/>
      <w:lvlJc w:val="left"/>
      <w:pPr>
        <w:ind w:left="1440" w:hanging="360"/>
      </w:pPr>
      <w:rPr>
        <w:rFonts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01CD2"/>
    <w:multiLevelType w:val="hybridMultilevel"/>
    <w:tmpl w:val="57C6BAA6"/>
    <w:lvl w:ilvl="0" w:tplc="4AA029E2">
      <w:start w:val="1"/>
      <w:numFmt w:val="lowerLetter"/>
      <w:lvlText w:val="%1."/>
      <w:lvlJc w:val="left"/>
      <w:pPr>
        <w:ind w:left="720" w:hanging="360"/>
      </w:pPr>
      <w:rPr>
        <w:rFonts w:hint="default"/>
        <w:b w:val="0"/>
      </w:rPr>
    </w:lvl>
    <w:lvl w:ilvl="1" w:tplc="4AA029E2">
      <w:start w:val="1"/>
      <w:numFmt w:val="lowerLetter"/>
      <w:lvlText w:val="%2."/>
      <w:lvlJc w:val="left"/>
      <w:pPr>
        <w:ind w:left="1440" w:hanging="360"/>
      </w:pPr>
      <w:rPr>
        <w:rFonts w:hint="default"/>
        <w:b w:val="0"/>
      </w:rPr>
    </w:lvl>
    <w:lvl w:ilvl="2" w:tplc="3EB2B184">
      <w:start w:val="1"/>
      <w:numFmt w:val="lowerRoman"/>
      <w:lvlText w:val="%3."/>
      <w:lvlJc w:val="right"/>
      <w:pPr>
        <w:ind w:left="2160" w:hanging="360"/>
      </w:pPr>
      <w:rPr>
        <w:rFonts w:hint="default"/>
        <w:b w:val="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36CD4"/>
    <w:multiLevelType w:val="multilevel"/>
    <w:tmpl w:val="823CBE32"/>
    <w:lvl w:ilvl="0">
      <w:start w:val="1"/>
      <w:numFmt w:val="decimal"/>
      <w:lvlText w:val="%1)"/>
      <w:lvlJc w:val="left"/>
      <w:pPr>
        <w:ind w:left="360" w:hanging="360"/>
      </w:pPr>
      <w:rPr>
        <w:rFonts w:asciiTheme="minorHAnsi" w:hAnsiTheme="minorHAnsi" w:cstheme="minorHAnsi" w:hint="default"/>
        <w:color w:val="auto"/>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B432BD"/>
    <w:multiLevelType w:val="hybridMultilevel"/>
    <w:tmpl w:val="60FABEC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B1660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07E4127"/>
    <w:multiLevelType w:val="hybridMultilevel"/>
    <w:tmpl w:val="7CFC543E"/>
    <w:lvl w:ilvl="0" w:tplc="2A28A50C">
      <w:start w:val="1"/>
      <w:numFmt w:val="lowerLetter"/>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0753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571AD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9A34ED7"/>
    <w:multiLevelType w:val="hybridMultilevel"/>
    <w:tmpl w:val="33FEF5C2"/>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FB18A5"/>
    <w:multiLevelType w:val="multilevel"/>
    <w:tmpl w:val="AB707EC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E643DB3"/>
    <w:multiLevelType w:val="hybridMultilevel"/>
    <w:tmpl w:val="97FABF50"/>
    <w:lvl w:ilvl="0" w:tplc="EEBAE43E">
      <w:start w:val="3"/>
      <w:numFmt w:val="decimal"/>
      <w:lvlText w:val="%1)"/>
      <w:lvlJc w:val="left"/>
      <w:pPr>
        <w:ind w:left="720" w:hanging="360"/>
      </w:pPr>
      <w:rPr>
        <w:rFonts w:hint="default"/>
      </w:rPr>
    </w:lvl>
    <w:lvl w:ilvl="1" w:tplc="08B66D78">
      <w:start w:val="1"/>
      <w:numFmt w:val="decimal"/>
      <w:lvlText w:val="%2)"/>
      <w:lvlJc w:val="left"/>
      <w:pPr>
        <w:ind w:left="1440" w:hanging="360"/>
      </w:pPr>
      <w:rPr>
        <w:rFonts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593515"/>
    <w:multiLevelType w:val="multilevel"/>
    <w:tmpl w:val="303CD1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52840B9"/>
    <w:multiLevelType w:val="hybridMultilevel"/>
    <w:tmpl w:val="9F9EF1E2"/>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5CE23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71D6CBD"/>
    <w:multiLevelType w:val="multilevel"/>
    <w:tmpl w:val="0409001D"/>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F6351FE"/>
    <w:multiLevelType w:val="hybridMultilevel"/>
    <w:tmpl w:val="761221C8"/>
    <w:lvl w:ilvl="0" w:tplc="1B6AF0AC">
      <w:start w:val="1"/>
      <w:numFmt w:val="lowerLetter"/>
      <w:lvlText w:val="%1."/>
      <w:lvlJc w:val="left"/>
      <w:pPr>
        <w:ind w:left="1080" w:hanging="360"/>
      </w:pPr>
      <w:rPr>
        <w:rFonts w:hint="default"/>
        <w:b w:val="0"/>
      </w:rPr>
    </w:lvl>
    <w:lvl w:ilvl="1" w:tplc="04090013">
      <w:start w:val="1"/>
      <w:numFmt w:val="upperRoman"/>
      <w:lvlText w:val="%2."/>
      <w:lvlJc w:val="right"/>
      <w:pPr>
        <w:ind w:left="1800" w:hanging="360"/>
      </w:pPr>
      <w:rPr>
        <w:rFonts w:hint="default"/>
        <w:b w:val="0"/>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3CC6E66"/>
    <w:multiLevelType w:val="hybridMultilevel"/>
    <w:tmpl w:val="9F1EC3C6"/>
    <w:lvl w:ilvl="0" w:tplc="1550E21A">
      <w:start w:val="1"/>
      <w:numFmt w:val="decimal"/>
      <w:lvlText w:val="%1)"/>
      <w:lvlJc w:val="left"/>
      <w:pPr>
        <w:ind w:left="720" w:hanging="360"/>
      </w:pPr>
      <w:rPr>
        <w:rFonts w:hint="default"/>
        <w:b/>
      </w:rPr>
    </w:lvl>
    <w:lvl w:ilvl="1" w:tplc="04090019">
      <w:start w:val="1"/>
      <w:numFmt w:val="lowerLetter"/>
      <w:lvlText w:val="%2."/>
      <w:lvlJc w:val="left"/>
      <w:pPr>
        <w:ind w:left="1440" w:hanging="360"/>
      </w:pPr>
      <w:rPr>
        <w:rFonts w:hint="default"/>
        <w:b w:val="0"/>
      </w:rPr>
    </w:lvl>
    <w:lvl w:ilvl="2" w:tplc="3E6E5718">
      <w:start w:val="1"/>
      <w:numFmt w:val="lowerRoman"/>
      <w:lvlText w:val="%3."/>
      <w:lvlJc w:val="right"/>
      <w:pPr>
        <w:ind w:left="2160" w:hanging="360"/>
      </w:pPr>
      <w:rPr>
        <w:rFonts w:hint="default"/>
        <w:b w:val="0"/>
      </w:rPr>
    </w:lvl>
    <w:lvl w:ilvl="3" w:tplc="27A8AFDC">
      <w:start w:val="1"/>
      <w:numFmt w:val="decimal"/>
      <w:lvlText w:val="%4."/>
      <w:lvlJc w:val="left"/>
      <w:pPr>
        <w:ind w:left="2880" w:hanging="360"/>
      </w:pPr>
      <w:rPr>
        <w:rFonts w:hint="default"/>
        <w:b w:val="0"/>
      </w:rPr>
    </w:lvl>
    <w:lvl w:ilvl="4" w:tplc="04090017">
      <w:start w:val="1"/>
      <w:numFmt w:val="lowerLetter"/>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FE1F91"/>
    <w:multiLevelType w:val="multilevel"/>
    <w:tmpl w:val="604EE916"/>
    <w:lvl w:ilvl="0">
      <w:start w:val="4"/>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C2C502A"/>
    <w:multiLevelType w:val="multilevel"/>
    <w:tmpl w:val="0409001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2" w15:restartNumberingAfterBreak="0">
    <w:nsid w:val="5E301400"/>
    <w:multiLevelType w:val="multilevel"/>
    <w:tmpl w:val="303CD1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10127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4E08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BA603DD"/>
    <w:multiLevelType w:val="hybridMultilevel"/>
    <w:tmpl w:val="BC1AD256"/>
    <w:lvl w:ilvl="0" w:tplc="E5349DF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3EB2B18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6061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34A1C08"/>
    <w:multiLevelType w:val="multilevel"/>
    <w:tmpl w:val="1660D1E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9C13553"/>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B1C28C7"/>
    <w:multiLevelType w:val="multilevel"/>
    <w:tmpl w:val="1660D1E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5"/>
  </w:num>
  <w:num w:numId="2">
    <w:abstractNumId w:val="14"/>
  </w:num>
  <w:num w:numId="3">
    <w:abstractNumId w:val="27"/>
  </w:num>
  <w:num w:numId="4">
    <w:abstractNumId w:val="15"/>
  </w:num>
  <w:num w:numId="5">
    <w:abstractNumId w:val="26"/>
  </w:num>
  <w:num w:numId="6">
    <w:abstractNumId w:val="19"/>
  </w:num>
  <w:num w:numId="7">
    <w:abstractNumId w:val="18"/>
  </w:num>
  <w:num w:numId="8">
    <w:abstractNumId w:val="4"/>
  </w:num>
  <w:num w:numId="9">
    <w:abstractNumId w:val="11"/>
  </w:num>
  <w:num w:numId="10">
    <w:abstractNumId w:val="2"/>
  </w:num>
  <w:num w:numId="11">
    <w:abstractNumId w:val="17"/>
  </w:num>
  <w:num w:numId="12">
    <w:abstractNumId w:val="9"/>
  </w:num>
  <w:num w:numId="13">
    <w:abstractNumId w:val="8"/>
  </w:num>
  <w:num w:numId="14">
    <w:abstractNumId w:val="28"/>
  </w:num>
  <w:num w:numId="15">
    <w:abstractNumId w:val="21"/>
  </w:num>
  <w:num w:numId="16">
    <w:abstractNumId w:val="3"/>
  </w:num>
  <w:num w:numId="17">
    <w:abstractNumId w:val="13"/>
  </w:num>
  <w:num w:numId="18">
    <w:abstractNumId w:val="24"/>
  </w:num>
  <w:num w:numId="19">
    <w:abstractNumId w:val="22"/>
  </w:num>
  <w:num w:numId="20">
    <w:abstractNumId w:val="29"/>
  </w:num>
  <w:num w:numId="21">
    <w:abstractNumId w:val="12"/>
  </w:num>
  <w:num w:numId="22">
    <w:abstractNumId w:val="1"/>
  </w:num>
  <w:num w:numId="23">
    <w:abstractNumId w:val="10"/>
  </w:num>
  <w:num w:numId="24">
    <w:abstractNumId w:val="16"/>
  </w:num>
  <w:num w:numId="25">
    <w:abstractNumId w:val="23"/>
  </w:num>
  <w:num w:numId="26">
    <w:abstractNumId w:val="0"/>
  </w:num>
  <w:num w:numId="27">
    <w:abstractNumId w:val="7"/>
  </w:num>
  <w:num w:numId="28">
    <w:abstractNumId w:val="5"/>
  </w:num>
  <w:num w:numId="29">
    <w:abstractNumId w:val="6"/>
  </w:num>
  <w:num w:numId="30">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26B"/>
    <w:rsid w:val="00032BD7"/>
    <w:rsid w:val="00053634"/>
    <w:rsid w:val="0005554E"/>
    <w:rsid w:val="000730B2"/>
    <w:rsid w:val="000766D8"/>
    <w:rsid w:val="0009369B"/>
    <w:rsid w:val="00094A85"/>
    <w:rsid w:val="00094D20"/>
    <w:rsid w:val="000A4EC5"/>
    <w:rsid w:val="000B3AFC"/>
    <w:rsid w:val="000C334F"/>
    <w:rsid w:val="000D580A"/>
    <w:rsid w:val="000F608D"/>
    <w:rsid w:val="000F6B5F"/>
    <w:rsid w:val="00117227"/>
    <w:rsid w:val="00131FA3"/>
    <w:rsid w:val="00147415"/>
    <w:rsid w:val="0015571D"/>
    <w:rsid w:val="00155898"/>
    <w:rsid w:val="0017613E"/>
    <w:rsid w:val="00177C56"/>
    <w:rsid w:val="00187EA7"/>
    <w:rsid w:val="00193A6C"/>
    <w:rsid w:val="001B1459"/>
    <w:rsid w:val="001B4BFA"/>
    <w:rsid w:val="001B5480"/>
    <w:rsid w:val="001C47B5"/>
    <w:rsid w:val="001E2163"/>
    <w:rsid w:val="00207DB3"/>
    <w:rsid w:val="00217AEA"/>
    <w:rsid w:val="002409ED"/>
    <w:rsid w:val="00250923"/>
    <w:rsid w:val="002770E1"/>
    <w:rsid w:val="002834E3"/>
    <w:rsid w:val="00284B82"/>
    <w:rsid w:val="00286BF0"/>
    <w:rsid w:val="00295A9B"/>
    <w:rsid w:val="002A309F"/>
    <w:rsid w:val="002A7B67"/>
    <w:rsid w:val="002D1D0A"/>
    <w:rsid w:val="002D59DC"/>
    <w:rsid w:val="002D5DE9"/>
    <w:rsid w:val="002F08D0"/>
    <w:rsid w:val="00311AA5"/>
    <w:rsid w:val="003132DC"/>
    <w:rsid w:val="00314AA3"/>
    <w:rsid w:val="003343D0"/>
    <w:rsid w:val="00336722"/>
    <w:rsid w:val="0034585F"/>
    <w:rsid w:val="003470D8"/>
    <w:rsid w:val="00357116"/>
    <w:rsid w:val="00361148"/>
    <w:rsid w:val="00363BC0"/>
    <w:rsid w:val="00385E36"/>
    <w:rsid w:val="00392528"/>
    <w:rsid w:val="0039466C"/>
    <w:rsid w:val="003C31AE"/>
    <w:rsid w:val="003D094C"/>
    <w:rsid w:val="003E3679"/>
    <w:rsid w:val="00410554"/>
    <w:rsid w:val="0041686A"/>
    <w:rsid w:val="00416C94"/>
    <w:rsid w:val="004418A1"/>
    <w:rsid w:val="004A05C5"/>
    <w:rsid w:val="004A5D36"/>
    <w:rsid w:val="004B3AB8"/>
    <w:rsid w:val="004C6A32"/>
    <w:rsid w:val="004D2E9D"/>
    <w:rsid w:val="004D4BE2"/>
    <w:rsid w:val="004F2F0A"/>
    <w:rsid w:val="004F767B"/>
    <w:rsid w:val="00506364"/>
    <w:rsid w:val="00507C2B"/>
    <w:rsid w:val="00513121"/>
    <w:rsid w:val="00513199"/>
    <w:rsid w:val="00525E86"/>
    <w:rsid w:val="00527BFB"/>
    <w:rsid w:val="0053001E"/>
    <w:rsid w:val="0054145C"/>
    <w:rsid w:val="00553930"/>
    <w:rsid w:val="0055725A"/>
    <w:rsid w:val="005645E6"/>
    <w:rsid w:val="00571BF2"/>
    <w:rsid w:val="00571D82"/>
    <w:rsid w:val="00574816"/>
    <w:rsid w:val="005A07FC"/>
    <w:rsid w:val="005B17DA"/>
    <w:rsid w:val="005B2247"/>
    <w:rsid w:val="005B32F3"/>
    <w:rsid w:val="005B4A4F"/>
    <w:rsid w:val="005C7AD7"/>
    <w:rsid w:val="005D3F4B"/>
    <w:rsid w:val="005E2936"/>
    <w:rsid w:val="005F2235"/>
    <w:rsid w:val="005F4C08"/>
    <w:rsid w:val="006004EE"/>
    <w:rsid w:val="00602AD0"/>
    <w:rsid w:val="00603339"/>
    <w:rsid w:val="00621C45"/>
    <w:rsid w:val="00625428"/>
    <w:rsid w:val="00634F48"/>
    <w:rsid w:val="0064119B"/>
    <w:rsid w:val="00676E6A"/>
    <w:rsid w:val="006839EF"/>
    <w:rsid w:val="00683DB6"/>
    <w:rsid w:val="006B1BB3"/>
    <w:rsid w:val="006B1D95"/>
    <w:rsid w:val="006B3E04"/>
    <w:rsid w:val="006B64A8"/>
    <w:rsid w:val="006C4F07"/>
    <w:rsid w:val="006C742E"/>
    <w:rsid w:val="006D0F0F"/>
    <w:rsid w:val="006E7264"/>
    <w:rsid w:val="0070726B"/>
    <w:rsid w:val="007251F1"/>
    <w:rsid w:val="00726619"/>
    <w:rsid w:val="00753057"/>
    <w:rsid w:val="00760B57"/>
    <w:rsid w:val="00761197"/>
    <w:rsid w:val="007619F1"/>
    <w:rsid w:val="007643A5"/>
    <w:rsid w:val="00771147"/>
    <w:rsid w:val="00793BC7"/>
    <w:rsid w:val="007970E2"/>
    <w:rsid w:val="007B12ED"/>
    <w:rsid w:val="007B1869"/>
    <w:rsid w:val="007B66EB"/>
    <w:rsid w:val="007D12C6"/>
    <w:rsid w:val="007D2639"/>
    <w:rsid w:val="007E335D"/>
    <w:rsid w:val="007F5E0D"/>
    <w:rsid w:val="00816851"/>
    <w:rsid w:val="00831FD6"/>
    <w:rsid w:val="00842CEC"/>
    <w:rsid w:val="00850D4A"/>
    <w:rsid w:val="008732E5"/>
    <w:rsid w:val="008973B3"/>
    <w:rsid w:val="008A4957"/>
    <w:rsid w:val="008B2ABC"/>
    <w:rsid w:val="008D0974"/>
    <w:rsid w:val="008E30B8"/>
    <w:rsid w:val="008F3B7A"/>
    <w:rsid w:val="008F4E5A"/>
    <w:rsid w:val="0091074F"/>
    <w:rsid w:val="00916098"/>
    <w:rsid w:val="00925D4F"/>
    <w:rsid w:val="00962C1C"/>
    <w:rsid w:val="009717F4"/>
    <w:rsid w:val="00974798"/>
    <w:rsid w:val="009802C3"/>
    <w:rsid w:val="009B4BD5"/>
    <w:rsid w:val="009B72A3"/>
    <w:rsid w:val="009C005D"/>
    <w:rsid w:val="009D0A5E"/>
    <w:rsid w:val="009F2C6F"/>
    <w:rsid w:val="009F4036"/>
    <w:rsid w:val="009F436F"/>
    <w:rsid w:val="00A06864"/>
    <w:rsid w:val="00A07220"/>
    <w:rsid w:val="00A11AD0"/>
    <w:rsid w:val="00A14332"/>
    <w:rsid w:val="00A1677D"/>
    <w:rsid w:val="00A224FE"/>
    <w:rsid w:val="00A25D04"/>
    <w:rsid w:val="00A30968"/>
    <w:rsid w:val="00A3299D"/>
    <w:rsid w:val="00A419D5"/>
    <w:rsid w:val="00A51C0D"/>
    <w:rsid w:val="00A620BC"/>
    <w:rsid w:val="00A6377D"/>
    <w:rsid w:val="00A63BE5"/>
    <w:rsid w:val="00A821B0"/>
    <w:rsid w:val="00A9249F"/>
    <w:rsid w:val="00AA457F"/>
    <w:rsid w:val="00AD3746"/>
    <w:rsid w:val="00AD6804"/>
    <w:rsid w:val="00AF03C1"/>
    <w:rsid w:val="00AF04C5"/>
    <w:rsid w:val="00AF2612"/>
    <w:rsid w:val="00B05A9E"/>
    <w:rsid w:val="00B35D9F"/>
    <w:rsid w:val="00B460E6"/>
    <w:rsid w:val="00B57B48"/>
    <w:rsid w:val="00B64B89"/>
    <w:rsid w:val="00B70731"/>
    <w:rsid w:val="00B71762"/>
    <w:rsid w:val="00BC6519"/>
    <w:rsid w:val="00BD6FDA"/>
    <w:rsid w:val="00BE26B8"/>
    <w:rsid w:val="00C17257"/>
    <w:rsid w:val="00C40586"/>
    <w:rsid w:val="00C41F05"/>
    <w:rsid w:val="00C458CC"/>
    <w:rsid w:val="00C4633D"/>
    <w:rsid w:val="00C540EC"/>
    <w:rsid w:val="00C72459"/>
    <w:rsid w:val="00C76C9E"/>
    <w:rsid w:val="00CA51FC"/>
    <w:rsid w:val="00CC2005"/>
    <w:rsid w:val="00CC47D9"/>
    <w:rsid w:val="00CD1AB1"/>
    <w:rsid w:val="00CD3470"/>
    <w:rsid w:val="00CD3D7D"/>
    <w:rsid w:val="00CD7668"/>
    <w:rsid w:val="00CE0AD0"/>
    <w:rsid w:val="00CF71B8"/>
    <w:rsid w:val="00D106D7"/>
    <w:rsid w:val="00D1400F"/>
    <w:rsid w:val="00D15200"/>
    <w:rsid w:val="00D22297"/>
    <w:rsid w:val="00D30BBF"/>
    <w:rsid w:val="00D344E2"/>
    <w:rsid w:val="00D36C83"/>
    <w:rsid w:val="00D41595"/>
    <w:rsid w:val="00D50D48"/>
    <w:rsid w:val="00D568D8"/>
    <w:rsid w:val="00D66C60"/>
    <w:rsid w:val="00D70026"/>
    <w:rsid w:val="00D81B31"/>
    <w:rsid w:val="00D841C0"/>
    <w:rsid w:val="00D86934"/>
    <w:rsid w:val="00D95315"/>
    <w:rsid w:val="00DB3903"/>
    <w:rsid w:val="00DB5AEB"/>
    <w:rsid w:val="00DF7CC3"/>
    <w:rsid w:val="00E01A9A"/>
    <w:rsid w:val="00E0664D"/>
    <w:rsid w:val="00E111D5"/>
    <w:rsid w:val="00E12CD7"/>
    <w:rsid w:val="00E161D6"/>
    <w:rsid w:val="00E36783"/>
    <w:rsid w:val="00E41FCA"/>
    <w:rsid w:val="00E425F7"/>
    <w:rsid w:val="00E44F0E"/>
    <w:rsid w:val="00E46210"/>
    <w:rsid w:val="00E53724"/>
    <w:rsid w:val="00E62D41"/>
    <w:rsid w:val="00E64198"/>
    <w:rsid w:val="00E67F9B"/>
    <w:rsid w:val="00E75794"/>
    <w:rsid w:val="00E82560"/>
    <w:rsid w:val="00E867EC"/>
    <w:rsid w:val="00E93B19"/>
    <w:rsid w:val="00E94544"/>
    <w:rsid w:val="00EA63C7"/>
    <w:rsid w:val="00EA780F"/>
    <w:rsid w:val="00EB2E1E"/>
    <w:rsid w:val="00EB3A48"/>
    <w:rsid w:val="00EB44D9"/>
    <w:rsid w:val="00ED6F08"/>
    <w:rsid w:val="00EE4663"/>
    <w:rsid w:val="00F03EEE"/>
    <w:rsid w:val="00F23898"/>
    <w:rsid w:val="00F248D4"/>
    <w:rsid w:val="00F24F32"/>
    <w:rsid w:val="00F27EFE"/>
    <w:rsid w:val="00F35B94"/>
    <w:rsid w:val="00F42C1C"/>
    <w:rsid w:val="00F42D89"/>
    <w:rsid w:val="00F60D64"/>
    <w:rsid w:val="00F75032"/>
    <w:rsid w:val="00F825D4"/>
    <w:rsid w:val="00FA0736"/>
    <w:rsid w:val="00FA0970"/>
    <w:rsid w:val="00FC0CBE"/>
    <w:rsid w:val="00FD5DA7"/>
    <w:rsid w:val="00FE2EA1"/>
    <w:rsid w:val="00FE4CB5"/>
    <w:rsid w:val="00FE6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0EFC5"/>
  <w15:chartTrackingRefBased/>
  <w15:docId w15:val="{67D274CD-F267-46BE-A2CD-620E3795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58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94C"/>
    <w:pPr>
      <w:ind w:left="720"/>
      <w:contextualSpacing/>
    </w:pPr>
  </w:style>
  <w:style w:type="character" w:styleId="CommentReference">
    <w:name w:val="annotation reference"/>
    <w:basedOn w:val="DefaultParagraphFont"/>
    <w:uiPriority w:val="99"/>
    <w:semiHidden/>
    <w:unhideWhenUsed/>
    <w:rsid w:val="00A224FE"/>
    <w:rPr>
      <w:sz w:val="16"/>
      <w:szCs w:val="16"/>
    </w:rPr>
  </w:style>
  <w:style w:type="paragraph" w:styleId="CommentText">
    <w:name w:val="annotation text"/>
    <w:basedOn w:val="Normal"/>
    <w:link w:val="CommentTextChar"/>
    <w:uiPriority w:val="99"/>
    <w:unhideWhenUsed/>
    <w:rsid w:val="00A224FE"/>
    <w:pPr>
      <w:spacing w:line="240" w:lineRule="auto"/>
    </w:pPr>
    <w:rPr>
      <w:sz w:val="20"/>
      <w:szCs w:val="20"/>
    </w:rPr>
  </w:style>
  <w:style w:type="character" w:customStyle="1" w:styleId="CommentTextChar">
    <w:name w:val="Comment Text Char"/>
    <w:basedOn w:val="DefaultParagraphFont"/>
    <w:link w:val="CommentText"/>
    <w:uiPriority w:val="99"/>
    <w:rsid w:val="00A224FE"/>
    <w:rPr>
      <w:sz w:val="20"/>
      <w:szCs w:val="20"/>
    </w:rPr>
  </w:style>
  <w:style w:type="paragraph" w:styleId="CommentSubject">
    <w:name w:val="annotation subject"/>
    <w:basedOn w:val="CommentText"/>
    <w:next w:val="CommentText"/>
    <w:link w:val="CommentSubjectChar"/>
    <w:uiPriority w:val="99"/>
    <w:semiHidden/>
    <w:unhideWhenUsed/>
    <w:rsid w:val="00A224FE"/>
    <w:rPr>
      <w:b/>
      <w:bCs/>
    </w:rPr>
  </w:style>
  <w:style w:type="character" w:customStyle="1" w:styleId="CommentSubjectChar">
    <w:name w:val="Comment Subject Char"/>
    <w:basedOn w:val="CommentTextChar"/>
    <w:link w:val="CommentSubject"/>
    <w:uiPriority w:val="99"/>
    <w:semiHidden/>
    <w:rsid w:val="00A224FE"/>
    <w:rPr>
      <w:b/>
      <w:bCs/>
      <w:sz w:val="20"/>
      <w:szCs w:val="20"/>
    </w:rPr>
  </w:style>
  <w:style w:type="paragraph" w:styleId="BalloonText">
    <w:name w:val="Balloon Text"/>
    <w:basedOn w:val="Normal"/>
    <w:link w:val="BalloonTextChar"/>
    <w:uiPriority w:val="99"/>
    <w:semiHidden/>
    <w:unhideWhenUsed/>
    <w:rsid w:val="00A224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4FE"/>
    <w:rPr>
      <w:rFonts w:ascii="Segoe UI" w:hAnsi="Segoe UI" w:cs="Segoe UI"/>
      <w:sz w:val="18"/>
      <w:szCs w:val="18"/>
    </w:rPr>
  </w:style>
  <w:style w:type="paragraph" w:styleId="Header">
    <w:name w:val="header"/>
    <w:basedOn w:val="Normal"/>
    <w:link w:val="HeaderChar"/>
    <w:uiPriority w:val="99"/>
    <w:unhideWhenUsed/>
    <w:rsid w:val="00FE4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CB5"/>
  </w:style>
  <w:style w:type="paragraph" w:styleId="Footer">
    <w:name w:val="footer"/>
    <w:basedOn w:val="Normal"/>
    <w:link w:val="FooterChar"/>
    <w:uiPriority w:val="99"/>
    <w:unhideWhenUsed/>
    <w:rsid w:val="00FE4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CB5"/>
  </w:style>
  <w:style w:type="character" w:styleId="Hyperlink">
    <w:name w:val="Hyperlink"/>
    <w:basedOn w:val="DefaultParagraphFont"/>
    <w:uiPriority w:val="99"/>
    <w:unhideWhenUsed/>
    <w:rsid w:val="00E44F0E"/>
    <w:rPr>
      <w:color w:val="0563C1" w:themeColor="hyperlink"/>
      <w:u w:val="single"/>
    </w:rPr>
  </w:style>
  <w:style w:type="character" w:customStyle="1" w:styleId="UnresolvedMention1">
    <w:name w:val="Unresolved Mention1"/>
    <w:basedOn w:val="DefaultParagraphFont"/>
    <w:uiPriority w:val="99"/>
    <w:semiHidden/>
    <w:unhideWhenUsed/>
    <w:rsid w:val="00E44F0E"/>
    <w:rPr>
      <w:color w:val="605E5C"/>
      <w:shd w:val="clear" w:color="auto" w:fill="E1DFDD"/>
    </w:rPr>
  </w:style>
  <w:style w:type="character" w:styleId="Strong">
    <w:name w:val="Strong"/>
    <w:basedOn w:val="DefaultParagraphFont"/>
    <w:uiPriority w:val="22"/>
    <w:qFormat/>
    <w:rsid w:val="004B3AB8"/>
    <w:rPr>
      <w:b/>
      <w:bCs/>
    </w:rPr>
  </w:style>
  <w:style w:type="character" w:styleId="UnresolvedMention">
    <w:name w:val="Unresolved Mention"/>
    <w:basedOn w:val="DefaultParagraphFont"/>
    <w:uiPriority w:val="99"/>
    <w:semiHidden/>
    <w:unhideWhenUsed/>
    <w:rsid w:val="00C540EC"/>
    <w:rPr>
      <w:color w:val="605E5C"/>
      <w:shd w:val="clear" w:color="auto" w:fill="E1DFDD"/>
    </w:rPr>
  </w:style>
  <w:style w:type="character" w:styleId="FollowedHyperlink">
    <w:name w:val="FollowedHyperlink"/>
    <w:basedOn w:val="DefaultParagraphFont"/>
    <w:uiPriority w:val="99"/>
    <w:semiHidden/>
    <w:unhideWhenUsed/>
    <w:rsid w:val="00E867EC"/>
    <w:rPr>
      <w:color w:val="954F72" w:themeColor="followedHyperlink"/>
      <w:u w:val="single"/>
    </w:rPr>
  </w:style>
  <w:style w:type="paragraph" w:styleId="Revision">
    <w:name w:val="Revision"/>
    <w:hidden/>
    <w:uiPriority w:val="99"/>
    <w:semiHidden/>
    <w:rsid w:val="00621C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426163">
      <w:bodyDiv w:val="1"/>
      <w:marLeft w:val="0"/>
      <w:marRight w:val="0"/>
      <w:marTop w:val="0"/>
      <w:marBottom w:val="0"/>
      <w:divBdr>
        <w:top w:val="none" w:sz="0" w:space="0" w:color="auto"/>
        <w:left w:val="none" w:sz="0" w:space="0" w:color="auto"/>
        <w:bottom w:val="none" w:sz="0" w:space="0" w:color="auto"/>
        <w:right w:val="none" w:sz="0" w:space="0" w:color="auto"/>
      </w:divBdr>
    </w:div>
    <w:div w:id="945891305">
      <w:bodyDiv w:val="1"/>
      <w:marLeft w:val="0"/>
      <w:marRight w:val="0"/>
      <w:marTop w:val="0"/>
      <w:marBottom w:val="0"/>
      <w:divBdr>
        <w:top w:val="none" w:sz="0" w:space="0" w:color="auto"/>
        <w:left w:val="none" w:sz="0" w:space="0" w:color="auto"/>
        <w:bottom w:val="none" w:sz="0" w:space="0" w:color="auto"/>
        <w:right w:val="none" w:sz="0" w:space="0" w:color="auto"/>
      </w:divBdr>
    </w:div>
    <w:div w:id="1314799598">
      <w:bodyDiv w:val="1"/>
      <w:marLeft w:val="0"/>
      <w:marRight w:val="0"/>
      <w:marTop w:val="0"/>
      <w:marBottom w:val="0"/>
      <w:divBdr>
        <w:top w:val="none" w:sz="0" w:space="0" w:color="auto"/>
        <w:left w:val="none" w:sz="0" w:space="0" w:color="auto"/>
        <w:bottom w:val="none" w:sz="0" w:space="0" w:color="auto"/>
        <w:right w:val="none" w:sz="0" w:space="0" w:color="auto"/>
      </w:divBdr>
    </w:div>
    <w:div w:id="132516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dpn.org/icd10.php" TargetMode="External"/><Relationship Id="rId13" Type="http://schemas.openxmlformats.org/officeDocument/2006/relationships/hyperlink" Target="https://www.nbdpn.org/icd10.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bdpn.org/icd10.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cbi.nlm.nih.gov/pubmed/314145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bdpn.org/icd10.php" TargetMode="External"/><Relationship Id="rId5" Type="http://schemas.openxmlformats.org/officeDocument/2006/relationships/webSettings" Target="webSettings.xml"/><Relationship Id="rId15" Type="http://schemas.openxmlformats.org/officeDocument/2006/relationships/hyperlink" Target="https://www.nbdpn.org/icd10.php" TargetMode="External"/><Relationship Id="rId10" Type="http://schemas.openxmlformats.org/officeDocument/2006/relationships/hyperlink" Target="https://www.nbdpn.org/icd10.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bdpn.org/guidelines.php" TargetMode="External"/><Relationship Id="rId14" Type="http://schemas.openxmlformats.org/officeDocument/2006/relationships/hyperlink" Target="https://www.nbdpn.org/guidelin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1A49F-DE14-4A86-AA31-CE8AB2808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2602</Words>
  <Characters>14836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Sarah (MDH)</dc:creator>
  <cp:keywords/>
  <dc:description/>
  <cp:lastModifiedBy>Isenburg, Jennifer (CDC/DDNID/NCBDDD/DBDID)</cp:lastModifiedBy>
  <cp:revision>3</cp:revision>
  <dcterms:created xsi:type="dcterms:W3CDTF">2019-12-20T17:10:00Z</dcterms:created>
  <dcterms:modified xsi:type="dcterms:W3CDTF">2019-12-20T18:49:00Z</dcterms:modified>
</cp:coreProperties>
</file>